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73"/>
        <w:jc w:val="left"/>
        <w:rPr/>
      </w:pPr>
      <w:hyperlink w:anchor="toc_page">
        <w:bookmarkStart w:id="0" w:name="whwk-20260630.htm"/>
        <w:bookmarkStart w:id="1" w:name="kswhwk20260630"/>
        <w:bookmarkEnd w:id="0"/>
        <w:bookmarkEnd w:id="1"/>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pBdr>
          <w:top w:val="double" w:sz="6" w:space="1" w:color="000000"/>
        </w:pBdr>
        <w:bidi w:val="0"/>
        <w:spacing w:lineRule="auto" w:line="273"/>
        <w:jc w:val="center"/>
        <w:rPr/>
      </w:pPr>
      <w:r>
        <w:rPr/>
        <w:t> </w:t>
      </w:r>
    </w:p>
    <w:p>
      <w:pPr>
        <w:pStyle w:val="TextBody"/>
        <w:bidi w:val="0"/>
        <w:spacing w:lineRule="auto" w:line="273"/>
        <w:jc w:val="center"/>
        <w:rPr>
          <w:rFonts w:ascii="Times New Roman" w:hAnsi="Times New Roman"/>
          <w:b/>
          <w:color w:val="000000"/>
          <w:sz w:val="32"/>
        </w:rPr>
      </w:pPr>
      <w:r>
        <w:rPr>
          <w:rFonts w:ascii="Times New Roman" w:hAnsi="Times New Roman"/>
          <w:b/>
          <w:color w:val="000000"/>
          <w:sz w:val="32"/>
        </w:rPr>
        <w:t>UNITED STATES</w:t>
      </w:r>
    </w:p>
    <w:p>
      <w:pPr>
        <w:pStyle w:val="TextBody"/>
        <w:bidi w:val="0"/>
        <w:spacing w:lineRule="auto" w:line="273"/>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lineRule="auto" w:line="273"/>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spacing w:lineRule="auto" w:line="273"/>
        <w:jc w:val="center"/>
        <w:rPr/>
      </w:pPr>
      <w:r>
        <w:rPr/>
        <w:t> </w:t>
      </w:r>
    </w:p>
    <w:p>
      <w:pPr>
        <w:pStyle w:val="TextBody"/>
        <w:bidi w:val="0"/>
        <w:spacing w:lineRule="auto" w:line="273" w:before="8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6" w:space="1" w:color="000000"/>
        </w:pBdr>
        <w:bidi w:val="0"/>
        <w:spacing w:lineRule="auto" w:line="273"/>
        <w:jc w:val="center"/>
        <w:rPr/>
      </w:pPr>
      <w:r>
        <w:rPr/>
        <w:t> </w:t>
      </w:r>
    </w:p>
    <w:p>
      <w:pPr>
        <w:pStyle w:val="TextBody"/>
        <w:bidi w:val="0"/>
        <w:spacing w:lineRule="auto" w:line="273" w:before="8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60"/>
        <w:gridCol w:w="9845"/>
      </w:tblGrid>
      <w:tr>
        <w:trPr/>
        <w:tc>
          <w:tcPr>
            <w:tcW w:w="360" w:type="dxa"/>
            <w:tcBorders/>
            <w:vAlign w:val="center"/>
          </w:tcPr>
          <w:p>
            <w:pPr>
              <w:pStyle w:val="TableContents"/>
              <w:bidi w:val="0"/>
              <w:spacing w:before="0" w:after="283"/>
              <w:jc w:val="left"/>
              <w:rPr>
                <w:sz w:val="4"/>
                <w:szCs w:val="4"/>
              </w:rPr>
            </w:pPr>
            <w:r>
              <w:rPr>
                <w:sz w:val="4"/>
                <w:szCs w:val="4"/>
              </w:rPr>
            </w:r>
          </w:p>
        </w:tc>
        <w:tc>
          <w:tcPr>
            <w:tcW w:w="9845" w:type="dxa"/>
            <w:tcBorders/>
            <w:vAlign w:val="center"/>
          </w:tcPr>
          <w:p>
            <w:pPr>
              <w:pStyle w:val="TableContents"/>
              <w:bidi w:val="0"/>
              <w:spacing w:before="0" w:after="283"/>
              <w:jc w:val="left"/>
              <w:rPr>
                <w:sz w:val="4"/>
                <w:szCs w:val="4"/>
              </w:rPr>
            </w:pPr>
            <w:r>
              <w:rPr>
                <w:sz w:val="4"/>
                <w:szCs w:val="4"/>
              </w:rPr>
            </w:r>
          </w:p>
        </w:tc>
      </w:tr>
      <w:tr>
        <w:trPr/>
        <w:tc>
          <w:tcPr>
            <w:tcW w:w="360" w:type="dxa"/>
            <w:tcBorders/>
            <w:tcMar>
              <w:top w:w="0" w:type="dxa"/>
              <w:left w:w="0" w:type="dxa"/>
              <w:bottom w:w="0" w:type="dxa"/>
              <w:right w:w="0" w:type="dxa"/>
            </w:tcMar>
            <w:vAlign w:val="center"/>
          </w:tcPr>
          <w:p>
            <w:pPr>
              <w:pStyle w:val="TableContents"/>
              <w:bidi w:val="0"/>
              <w:spacing w:lineRule="auto" w:line="252" w:before="80" w:after="283"/>
              <w:ind w:left="0" w:right="0" w:firstLine="29"/>
              <w:jc w:val="left"/>
              <w:rPr>
                <w:color w:val="000000"/>
              </w:rPr>
            </w:pPr>
            <w:r>
              <w:rPr>
                <w:color w:val="000000"/>
              </w:rPr>
              <w:t>☒</w:t>
            </w:r>
          </w:p>
        </w:tc>
        <w:tc>
          <w:tcPr>
            <w:tcW w:w="9845" w:type="dxa"/>
            <w:tcBorders/>
            <w:tcMar>
              <w:top w:w="0" w:type="dxa"/>
              <w:left w:w="0" w:type="dxa"/>
              <w:bottom w:w="0" w:type="dxa"/>
              <w:right w:w="0" w:type="dxa"/>
            </w:tcMar>
            <w:vAlign w:val="center"/>
          </w:tcPr>
          <w:p>
            <w:pPr>
              <w:pStyle w:val="TableContents"/>
              <w:bidi w:val="0"/>
              <w:spacing w:lineRule="auto" w:line="252" w:before="80" w:after="283"/>
              <w:ind w:left="0" w:right="0" w:firstLine="29"/>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lineRule="auto" w:line="273" w:before="8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lineRule="auto" w:line="273"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60"/>
        <w:gridCol w:w="9845"/>
      </w:tblGrid>
      <w:tr>
        <w:trPr/>
        <w:tc>
          <w:tcPr>
            <w:tcW w:w="360" w:type="dxa"/>
            <w:tcBorders/>
            <w:vAlign w:val="center"/>
          </w:tcPr>
          <w:p>
            <w:pPr>
              <w:pStyle w:val="TableContents"/>
              <w:bidi w:val="0"/>
              <w:spacing w:before="0" w:after="283"/>
              <w:jc w:val="left"/>
              <w:rPr>
                <w:sz w:val="4"/>
                <w:szCs w:val="4"/>
              </w:rPr>
            </w:pPr>
            <w:r>
              <w:rPr>
                <w:sz w:val="4"/>
                <w:szCs w:val="4"/>
              </w:rPr>
            </w:r>
          </w:p>
        </w:tc>
        <w:tc>
          <w:tcPr>
            <w:tcW w:w="9845" w:type="dxa"/>
            <w:tcBorders/>
            <w:vAlign w:val="center"/>
          </w:tcPr>
          <w:p>
            <w:pPr>
              <w:pStyle w:val="TableContents"/>
              <w:bidi w:val="0"/>
              <w:spacing w:before="0" w:after="283"/>
              <w:jc w:val="left"/>
              <w:rPr>
                <w:sz w:val="4"/>
                <w:szCs w:val="4"/>
              </w:rPr>
            </w:pPr>
            <w:r>
              <w:rPr>
                <w:sz w:val="4"/>
                <w:szCs w:val="4"/>
              </w:rPr>
            </w:r>
          </w:p>
        </w:tc>
      </w:tr>
      <w:tr>
        <w:trPr/>
        <w:tc>
          <w:tcPr>
            <w:tcW w:w="360" w:type="dxa"/>
            <w:tcBorders/>
            <w:tcMar>
              <w:top w:w="0" w:type="dxa"/>
              <w:left w:w="0" w:type="dxa"/>
              <w:bottom w:w="0" w:type="dxa"/>
              <w:right w:w="0" w:type="dxa"/>
            </w:tcMar>
            <w:vAlign w:val="center"/>
          </w:tcPr>
          <w:p>
            <w:pPr>
              <w:pStyle w:val="TableContents"/>
              <w:bidi w:val="0"/>
              <w:spacing w:lineRule="auto" w:line="252" w:before="80" w:after="283"/>
              <w:ind w:left="0" w:right="0" w:firstLine="29"/>
              <w:jc w:val="left"/>
              <w:rPr>
                <w:color w:val="000000"/>
              </w:rPr>
            </w:pPr>
            <w:r>
              <w:rPr>
                <w:color w:val="000000"/>
              </w:rPr>
              <w:t>☐</w:t>
            </w:r>
          </w:p>
        </w:tc>
        <w:tc>
          <w:tcPr>
            <w:tcW w:w="9845" w:type="dxa"/>
            <w:tcBorders/>
            <w:tcMar>
              <w:top w:w="0" w:type="dxa"/>
              <w:left w:w="0" w:type="dxa"/>
              <w:bottom w:w="0" w:type="dxa"/>
              <w:right w:w="0" w:type="dxa"/>
            </w:tcMar>
            <w:vAlign w:val="center"/>
          </w:tcPr>
          <w:p>
            <w:pPr>
              <w:pStyle w:val="TableContents"/>
              <w:bidi w:val="0"/>
              <w:spacing w:lineRule="auto" w:line="252" w:before="80" w:after="283"/>
              <w:ind w:left="0" w:right="0" w:firstLine="29"/>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lineRule="auto" w:line="273" w:before="80" w:after="283"/>
        <w:jc w:val="center"/>
        <w:rPr>
          <w:rFonts w:ascii="Times New Roman" w:hAnsi="Times New Roman"/>
          <w:b/>
          <w:color w:val="000000"/>
          <w:sz w:val="20"/>
        </w:rPr>
      </w:pPr>
      <w:r>
        <w:rPr>
          <w:rFonts w:ascii="Times New Roman" w:hAnsi="Times New Roman"/>
          <w:b/>
          <w:color w:val="000000"/>
          <w:sz w:val="20"/>
        </w:rPr>
        <w:t>For the transition period from ______________ to ______________</w:t>
      </w:r>
    </w:p>
    <w:p>
      <w:pPr>
        <w:pStyle w:val="TextBody"/>
        <w:bidi w:val="0"/>
        <w:spacing w:lineRule="auto" w:line="273" w:before="80" w:after="283"/>
        <w:jc w:val="center"/>
        <w:rPr>
          <w:rFonts w:ascii="Times New Roman" w:hAnsi="Times New Roman"/>
          <w:b/>
          <w:color w:val="000000"/>
          <w:sz w:val="20"/>
        </w:rPr>
      </w:pPr>
      <w:r>
        <w:rPr>
          <w:rFonts w:ascii="Times New Roman" w:hAnsi="Times New Roman"/>
          <w:b/>
          <w:color w:val="000000"/>
          <w:sz w:val="20"/>
        </w:rPr>
        <w:t>Commission File Number: 001-38560</w:t>
      </w:r>
    </w:p>
    <w:p>
      <w:pPr>
        <w:pStyle w:val="TextBody"/>
        <w:pBdr>
          <w:bottom w:val="single" w:sz="6" w:space="1" w:color="000000"/>
        </w:pBdr>
        <w:bidi w:val="0"/>
        <w:spacing w:lineRule="auto" w:line="273"/>
        <w:jc w:val="center"/>
        <w:rPr/>
      </w:pPr>
      <w:r>
        <w:rPr/>
        <w:t> </w:t>
      </w:r>
    </w:p>
    <w:p>
      <w:pPr>
        <w:pStyle w:val="TextBody"/>
        <w:bidi w:val="0"/>
        <w:spacing w:lineRule="auto" w:line="273"/>
        <w:jc w:val="center"/>
        <w:rPr/>
      </w:pPr>
      <w:r>
        <w:rPr/>
        <w:t> </w:t>
      </w:r>
    </w:p>
    <w:p>
      <w:pPr>
        <w:pStyle w:val="TextBody"/>
        <w:bidi w:val="0"/>
        <w:spacing w:lineRule="auto" w:line="273"/>
        <w:jc w:val="center"/>
        <w:rPr>
          <w:rFonts w:ascii="Times New Roman" w:hAnsi="Times New Roman"/>
          <w:b/>
          <w:color w:val="000000"/>
          <w:sz w:val="40"/>
        </w:rPr>
      </w:pPr>
      <w:r>
        <w:rPr>
          <w:rFonts w:ascii="Times New Roman" w:hAnsi="Times New Roman"/>
          <w:b/>
          <w:color w:val="000000"/>
          <w:sz w:val="40"/>
        </w:rPr>
        <w:t>WHITEHAWK THERAPEUTICS, INC.</w:t>
      </w:r>
    </w:p>
    <w:p>
      <w:pPr>
        <w:pStyle w:val="TextBody"/>
        <w:bidi w:val="0"/>
        <w:spacing w:lineRule="auto" w:line="273"/>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spacing w:lineRule="auto" w:line="273"/>
        <w:jc w:val="center"/>
        <w:rPr/>
      </w:pPr>
      <w:r>
        <w:rPr/>
        <w:t> </w:t>
      </w:r>
    </w:p>
    <w:p>
      <w:pPr>
        <w:pStyle w:val="TextBody"/>
        <w:bidi w:val="0"/>
        <w:spacing w:lineRule="auto" w:line="273"/>
        <w:jc w:val="center"/>
        <w:rPr/>
      </w:pPr>
      <w:r>
        <w:rPr/>
        <w:t> </w:t>
      </w:r>
    </w:p>
    <w:tbl>
      <w:tblPr>
        <w:tblW w:w="5447" w:type="dxa"/>
        <w:jc w:val="left"/>
        <w:tblInd w:w="0" w:type="dxa"/>
        <w:tblLayout w:type="fixed"/>
        <w:tblCellMar>
          <w:top w:w="28" w:type="dxa"/>
          <w:left w:w="28" w:type="dxa"/>
          <w:bottom w:w="28" w:type="dxa"/>
          <w:right w:w="28" w:type="dxa"/>
        </w:tblCellMar>
      </w:tblPr>
      <w:tblGrid>
        <w:gridCol w:w="4201"/>
        <w:gridCol w:w="1246"/>
      </w:tblGrid>
      <w:tr>
        <w:trPr/>
        <w:tc>
          <w:tcPr>
            <w:tcW w:w="420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lineRule="auto" w:line="252" w:before="65" w:after="20"/>
              <w:jc w:val="center"/>
              <w:rPr>
                <w:rFonts w:ascii="Times New Roman" w:hAnsi="Times New Roman"/>
                <w:b/>
                <w:color w:val="000000"/>
                <w:sz w:val="20"/>
              </w:rPr>
            </w:pPr>
            <w:r>
              <w:rPr>
                <w:rFonts w:ascii="Times New Roman" w:hAnsi="Times New Roman"/>
                <w:b/>
                <w:color w:val="000000"/>
                <w:sz w:val="20"/>
              </w:rPr>
              <w:t>Delaware</w:t>
            </w:r>
          </w:p>
        </w:tc>
        <w:tc>
          <w:tcPr>
            <w:tcW w:w="1246" w:type="dxa"/>
            <w:tcBorders/>
            <w:shd w:fill="FFFFFF" w:val="clear"/>
            <w:tcMar>
              <w:top w:w="0" w:type="dxa"/>
              <w:left w:w="0" w:type="dxa"/>
              <w:bottom w:w="0" w:type="dxa"/>
              <w:right w:w="0" w:type="dxa"/>
            </w:tcMar>
            <w:vAlign w:val="center"/>
          </w:tcPr>
          <w:p>
            <w:pPr>
              <w:pStyle w:val="TableContents"/>
              <w:bidi w:val="0"/>
              <w:spacing w:lineRule="auto" w:line="252" w:before="65" w:after="20"/>
              <w:jc w:val="center"/>
              <w:rPr>
                <w:rFonts w:ascii="Times New Roman" w:hAnsi="Times New Roman"/>
                <w:b/>
                <w:color w:val="000000"/>
                <w:sz w:val="20"/>
              </w:rPr>
            </w:pPr>
            <w:r>
              <w:rPr>
                <w:rFonts w:ascii="Times New Roman" w:hAnsi="Times New Roman"/>
                <w:b/>
                <w:color w:val="000000"/>
                <w:sz w:val="20"/>
              </w:rPr>
              <w:t>61-1547850</w:t>
            </w:r>
          </w:p>
        </w:tc>
      </w:tr>
      <w:tr>
        <w:trPr/>
        <w:tc>
          <w:tcPr>
            <w:tcW w:w="4201" w:type="dxa"/>
            <w:tcBorders/>
            <w:tcMar>
              <w:top w:w="0" w:type="dxa"/>
              <w:left w:w="0" w:type="dxa"/>
              <w:bottom w:w="0" w:type="dxa"/>
              <w:right w:w="0" w:type="dxa"/>
            </w:tcMar>
            <w:vAlign w:val="center"/>
          </w:tcPr>
          <w:p>
            <w:pPr>
              <w:pStyle w:val="TableContents"/>
              <w:bidi w:val="0"/>
              <w:spacing w:lineRule="auto" w:line="252" w:before="80" w:after="283"/>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lineRule="auto" w:line="252" w:before="0" w:after="20"/>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lineRule="auto" w:line="252" w:before="80" w:after="283"/>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lineRule="auto" w:line="252" w:before="0" w:after="20"/>
              <w:jc w:val="center"/>
              <w:rPr>
                <w:rFonts w:ascii="Times New Roman" w:hAnsi="Times New Roman"/>
                <w:b/>
                <w:color w:val="000000"/>
                <w:sz w:val="14"/>
              </w:rPr>
            </w:pPr>
            <w:r>
              <w:rPr>
                <w:rFonts w:ascii="Times New Roman" w:hAnsi="Times New Roman"/>
                <w:b/>
                <w:color w:val="000000"/>
                <w:sz w:val="14"/>
              </w:rPr>
              <w:t>Identification No.)</w:t>
            </w:r>
          </w:p>
        </w:tc>
      </w:tr>
      <w:tr>
        <w:trPr/>
        <w:tc>
          <w:tcPr>
            <w:tcW w:w="4201" w:type="dxa"/>
            <w:tcBorders/>
            <w:shd w:fill="FFFFFF" w:val="clear"/>
            <w:tcMar>
              <w:top w:w="0" w:type="dxa"/>
              <w:left w:w="0" w:type="dxa"/>
              <w:bottom w:w="0" w:type="dxa"/>
              <w:right w:w="0" w:type="dxa"/>
            </w:tcMar>
            <w:vAlign w:val="center"/>
          </w:tcPr>
          <w:p>
            <w:pPr>
              <w:pStyle w:val="TableContents"/>
              <w:bidi w:val="0"/>
              <w:spacing w:lineRule="auto" w:line="252" w:before="80" w:after="283"/>
              <w:jc w:val="center"/>
              <w:rPr>
                <w:rFonts w:ascii="Times New Roman" w:hAnsi="Times New Roman"/>
                <w:b/>
                <w:color w:val="000000"/>
                <w:sz w:val="20"/>
              </w:rPr>
            </w:pPr>
            <w:r>
              <w:rPr>
                <w:rFonts w:ascii="Times New Roman" w:hAnsi="Times New Roman"/>
                <w:b/>
                <w:color w:val="000000"/>
                <w:sz w:val="20"/>
              </w:rPr>
              <w:t>2 Headquarters Plaza, East Building, 11th Floor</w:t>
            </w:r>
          </w:p>
          <w:p>
            <w:pPr>
              <w:pStyle w:val="TableContents"/>
              <w:bidi w:val="0"/>
              <w:spacing w:lineRule="auto" w:line="252" w:before="0" w:after="20"/>
              <w:jc w:val="center"/>
              <w:rPr>
                <w:rFonts w:ascii="Times New Roman" w:hAnsi="Times New Roman"/>
                <w:sz w:val="20"/>
              </w:rPr>
            </w:pPr>
            <w:r>
              <w:rPr>
                <w:rFonts w:ascii="Times New Roman" w:hAnsi="Times New Roman"/>
                <w:b/>
                <w:color w:val="000000"/>
                <w:sz w:val="20"/>
              </w:rPr>
              <w:t>Morristown, NJ</w:t>
            </w:r>
            <w:r>
              <w:rPr>
                <w:rFonts w:ascii="Times New Roman" w:hAnsi="Times New Roman"/>
                <w:color w:val="000000"/>
                <w:sz w:val="20"/>
              </w:rPr>
              <w:t xml:space="preserve"> </w:t>
            </w:r>
          </w:p>
        </w:tc>
        <w:tc>
          <w:tcPr>
            <w:tcW w:w="1246" w:type="dxa"/>
            <w:tcBorders/>
            <w:tcMar>
              <w:top w:w="0" w:type="dxa"/>
              <w:left w:w="0" w:type="dxa"/>
              <w:bottom w:w="0" w:type="dxa"/>
              <w:right w:w="0" w:type="dxa"/>
            </w:tcMar>
            <w:vAlign w:val="center"/>
          </w:tcPr>
          <w:p>
            <w:pPr>
              <w:pStyle w:val="TableContents"/>
              <w:bidi w:val="0"/>
              <w:spacing w:lineRule="auto" w:line="252" w:before="80" w:after="283"/>
              <w:jc w:val="center"/>
              <w:rPr>
                <w:rFonts w:ascii="Times New Roman" w:hAnsi="Times New Roman"/>
                <w:b/>
                <w:color w:val="000000"/>
                <w:sz w:val="20"/>
              </w:rPr>
            </w:pPr>
            <w:r>
              <w:rPr>
                <w:rFonts w:ascii="Times New Roman" w:hAnsi="Times New Roman"/>
                <w:b/>
                <w:color w:val="000000"/>
                <w:sz w:val="20"/>
              </w:rPr>
              <w:t>07960</w:t>
            </w:r>
          </w:p>
        </w:tc>
      </w:tr>
      <w:tr>
        <w:trPr/>
        <w:tc>
          <w:tcPr>
            <w:tcW w:w="4201" w:type="dxa"/>
            <w:tcBorders/>
            <w:tcMar>
              <w:top w:w="0" w:type="dxa"/>
              <w:left w:w="0" w:type="dxa"/>
              <w:bottom w:w="0" w:type="dxa"/>
              <w:right w:w="0" w:type="dxa"/>
            </w:tcMar>
            <w:vAlign w:val="center"/>
          </w:tcPr>
          <w:p>
            <w:pPr>
              <w:pStyle w:val="TableContents"/>
              <w:bidi w:val="0"/>
              <w:spacing w:lineRule="auto" w:line="252" w:before="65" w:after="20"/>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lineRule="auto" w:line="252" w:before="65" w:after="20"/>
              <w:jc w:val="center"/>
              <w:rPr>
                <w:rFonts w:ascii="Times New Roman" w:hAnsi="Times New Roman"/>
                <w:b/>
                <w:color w:val="000000"/>
                <w:sz w:val="14"/>
              </w:rPr>
            </w:pPr>
            <w:r>
              <w:rPr>
                <w:rFonts w:ascii="Times New Roman" w:hAnsi="Times New Roman"/>
                <w:b/>
                <w:color w:val="000000"/>
                <w:sz w:val="14"/>
              </w:rPr>
              <w:t>(Zip Code)</w:t>
            </w:r>
          </w:p>
        </w:tc>
      </w:tr>
      <w:tr>
        <w:trPr/>
        <w:tc>
          <w:tcPr>
            <w:tcW w:w="5447" w:type="dxa"/>
            <w:gridSpan w:val="2"/>
            <w:tcBorders/>
            <w:shd w:fill="FFFFFF" w:val="clear"/>
            <w:tcMar>
              <w:top w:w="0" w:type="dxa"/>
              <w:left w:w="0" w:type="dxa"/>
              <w:bottom w:w="0" w:type="dxa"/>
              <w:right w:w="0" w:type="dxa"/>
            </w:tcMar>
            <w:vAlign w:val="center"/>
          </w:tcPr>
          <w:p>
            <w:pPr>
              <w:pStyle w:val="TableContents"/>
              <w:bidi w:val="0"/>
              <w:spacing w:lineRule="auto" w:line="252" w:before="80" w:after="283"/>
              <w:jc w:val="center"/>
              <w:rPr>
                <w:rFonts w:ascii="Times New Roman" w:hAnsi="Times New Roman"/>
                <w:sz w:val="20"/>
              </w:rPr>
            </w:pPr>
            <w:r>
              <w:rPr>
                <w:rFonts w:ascii="Times New Roman" w:hAnsi="Times New Roman"/>
                <w:b/>
                <w:color w:val="000000"/>
                <w:sz w:val="16"/>
              </w:rPr>
              <w:t>(551)</w:t>
            </w:r>
            <w:r>
              <w:rPr>
                <w:rFonts w:ascii="Times New Roman" w:hAnsi="Times New Roman"/>
                <w:color w:val="000000"/>
                <w:sz w:val="20"/>
              </w:rPr>
              <w:t xml:space="preserve"> </w:t>
            </w:r>
            <w:r>
              <w:rPr>
                <w:rFonts w:ascii="Times New Roman" w:hAnsi="Times New Roman"/>
                <w:b/>
                <w:color w:val="000000"/>
                <w:sz w:val="16"/>
              </w:rPr>
              <w:t>321-2234</w:t>
            </w:r>
          </w:p>
          <w:p>
            <w:pPr>
              <w:pStyle w:val="TableContents"/>
              <w:bidi w:val="0"/>
              <w:spacing w:lineRule="auto" w:line="252" w:before="0" w:after="20"/>
              <w:jc w:val="center"/>
              <w:rPr>
                <w:rFonts w:ascii="Times New Roman" w:hAnsi="Times New Roman"/>
                <w:b/>
                <w:color w:val="000000"/>
                <w:sz w:val="14"/>
              </w:rPr>
            </w:pPr>
            <w:r>
              <w:rPr>
                <w:rFonts w:ascii="Times New Roman" w:hAnsi="Times New Roman"/>
                <w:b/>
                <w:color w:val="000000"/>
                <w:sz w:val="14"/>
              </w:rPr>
              <w:t>(Registrant’s telephone number, including area code)</w:t>
            </w:r>
          </w:p>
        </w:tc>
      </w:tr>
    </w:tbl>
    <w:p>
      <w:pPr>
        <w:pStyle w:val="TextBody"/>
        <w:bidi w:val="0"/>
        <w:spacing w:lineRule="auto" w:line="273"/>
        <w:jc w:val="center"/>
        <w:rPr>
          <w:rFonts w:ascii="Times New Roman" w:hAnsi="Times New Roman"/>
          <w:b/>
          <w:color w:val="000000"/>
          <w:sz w:val="14"/>
        </w:rPr>
      </w:pPr>
      <w:r>
        <w:rPr>
          <w:rFonts w:ascii="Times New Roman" w:hAnsi="Times New Roman"/>
          <w:b/>
          <w:color w:val="000000"/>
          <w:sz w:val="14"/>
        </w:rPr>
        <w:t>(Former name, former address and former fiscal year, if changed since last report)</w:t>
      </w:r>
    </w:p>
    <w:p>
      <w:pPr>
        <w:pStyle w:val="TextBody"/>
        <w:pBdr>
          <w:bottom w:val="single" w:sz="6" w:space="1" w:color="000000"/>
        </w:pBdr>
        <w:bidi w:val="0"/>
        <w:spacing w:lineRule="auto" w:line="273"/>
        <w:jc w:val="center"/>
        <w:rPr/>
      </w:pPr>
      <w:r>
        <w:rPr/>
        <w:t> </w:t>
      </w:r>
    </w:p>
    <w:p>
      <w:pPr>
        <w:pStyle w:val="TextBody"/>
        <w:bidi w:val="0"/>
        <w:spacing w:lineRule="auto" w:line="273"/>
        <w:jc w:val="center"/>
        <w:rPr/>
      </w:pPr>
      <w:r>
        <w:rPr/>
        <w:t> </w:t>
      </w:r>
    </w:p>
    <w:p>
      <w:pPr>
        <w:pStyle w:val="TextBody"/>
        <w:bidi w:val="0"/>
        <w:spacing w:lineRule="auto" w:line="273" w:before="0" w:after="80"/>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7983" w:type="dxa"/>
        <w:jc w:val="left"/>
        <w:tblInd w:w="0" w:type="dxa"/>
        <w:tblLayout w:type="fixed"/>
        <w:tblCellMar>
          <w:top w:w="28" w:type="dxa"/>
          <w:left w:w="28" w:type="dxa"/>
          <w:bottom w:w="28" w:type="dxa"/>
          <w:right w:w="28" w:type="dxa"/>
        </w:tblCellMar>
      </w:tblPr>
      <w:tblGrid>
        <w:gridCol w:w="3256"/>
        <w:gridCol w:w="1456"/>
        <w:gridCol w:w="3271"/>
      </w:tblGrid>
      <w:tr>
        <w:trPr/>
        <w:tc>
          <w:tcPr>
            <w:tcW w:w="32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256" w:type="dxa"/>
            <w:tcBorders>
              <w:top w:val="single" w:sz="6" w:space="0" w:color="000000"/>
              <w:left w:val="single" w:sz="6" w:space="0" w:color="000000"/>
              <w:bottom w:val="single" w:sz="6" w:space="0" w:color="000000"/>
            </w:tcBorders>
            <w:tcMar>
              <w:left w:w="53"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 xml:space="preserve">Title of each class </w:t>
            </w:r>
          </w:p>
        </w:tc>
        <w:tc>
          <w:tcPr>
            <w:tcW w:w="1456" w:type="dxa"/>
            <w:tcBorders>
              <w:top w:val="single" w:sz="6" w:space="0" w:color="000000"/>
              <w:left w:val="single" w:sz="6" w:space="0" w:color="000000"/>
              <w:bottom w:val="single" w:sz="6" w:space="0" w:color="000000"/>
            </w:tcBorders>
            <w:tcMar>
              <w:left w:w="53"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Trading Symbol(s)</w:t>
            </w:r>
          </w:p>
        </w:tc>
        <w:tc>
          <w:tcPr>
            <w:tcW w:w="3271" w:type="dxa"/>
            <w:tcBorders>
              <w:top w:val="single" w:sz="6" w:space="0" w:color="000000"/>
              <w:left w:val="single" w:sz="6" w:space="0" w:color="000000"/>
              <w:bottom w:val="single" w:sz="6" w:space="0" w:color="000000"/>
              <w:right w:val="single" w:sz="6" w:space="0" w:color="000000"/>
            </w:tcBorders>
            <w:tcMar>
              <w:left w:w="53" w:type="dxa"/>
              <w:right w:w="53"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3256" w:type="dxa"/>
            <w:tcBorders>
              <w:left w:val="single" w:sz="6" w:space="0" w:color="000000"/>
              <w:bottom w:val="single" w:sz="6" w:space="0" w:color="000000"/>
            </w:tcBorders>
            <w:tcMar>
              <w:top w:w="0" w:type="dxa"/>
              <w:left w:w="53"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56" w:type="dxa"/>
            <w:tcBorders>
              <w:left w:val="single" w:sz="6" w:space="0" w:color="000000"/>
              <w:bottom w:val="single" w:sz="6" w:space="0" w:color="000000"/>
            </w:tcBorders>
            <w:tcMar>
              <w:top w:w="0" w:type="dxa"/>
              <w:left w:w="53" w:type="dxa"/>
              <w:right w:w="0"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WHWK</w:t>
            </w:r>
          </w:p>
        </w:tc>
        <w:tc>
          <w:tcPr>
            <w:tcW w:w="3271" w:type="dxa"/>
            <w:tcBorders>
              <w:left w:val="single" w:sz="6" w:space="0" w:color="000000"/>
              <w:bottom w:val="single" w:sz="6" w:space="0" w:color="000000"/>
              <w:right w:val="single" w:sz="6" w:space="0" w:color="000000"/>
            </w:tcBorders>
            <w:tcMar>
              <w:top w:w="0" w:type="dxa"/>
              <w:left w:w="53" w:type="dxa"/>
              <w:right w:w="53" w:type="dxa"/>
            </w:tcMar>
            <w:vAlign w:val="center"/>
          </w:tcPr>
          <w:p>
            <w:pPr>
              <w:pStyle w:val="TableContents"/>
              <w:bidi w:val="0"/>
              <w:spacing w:lineRule="auto" w:line="252"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lineRule="auto" w:line="273"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lineRule="auto" w:line="273"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lineRule="auto" w:line="273"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73"/>
        <w:jc w:val="left"/>
        <w:rPr/>
      </w:pPr>
      <w:r>
        <w:rPr/>
        <w:t> </w:t>
      </w:r>
    </w:p>
    <w:tbl>
      <w:tblPr>
        <w:tblW w:w="4429" w:type="dxa"/>
        <w:jc w:val="left"/>
        <w:tblInd w:w="0" w:type="dxa"/>
        <w:tblLayout w:type="fixed"/>
        <w:tblCellMar>
          <w:top w:w="28" w:type="dxa"/>
          <w:left w:w="28" w:type="dxa"/>
          <w:bottom w:w="28" w:type="dxa"/>
          <w:right w:w="28" w:type="dxa"/>
        </w:tblCellMar>
      </w:tblPr>
      <w:tblGrid>
        <w:gridCol w:w="1666"/>
        <w:gridCol w:w="316"/>
        <w:gridCol w:w="208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2086" w:type="dxa"/>
            <w:tcBorders/>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lineRule="auto" w:line="252" w:before="8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lineRule="auto" w:line="252" w:before="80" w:after="283"/>
              <w:jc w:val="left"/>
              <w:rPr>
                <w:color w:val="000000"/>
              </w:rPr>
            </w:pPr>
            <w:r>
              <w:rPr>
                <w:color w:val="000000"/>
              </w:rPr>
              <w:t>☒</w:t>
            </w:r>
          </w:p>
        </w:tc>
        <w:tc>
          <w:tcPr>
            <w:tcW w:w="2086" w:type="dxa"/>
            <w:tcBorders/>
            <w:tcMar>
              <w:top w:w="0" w:type="dxa"/>
              <w:left w:w="0" w:type="dxa"/>
              <w:bottom w:w="0" w:type="dxa"/>
              <w:right w:w="0" w:type="dxa"/>
            </w:tcMar>
            <w:vAlign w:val="center"/>
          </w:tcPr>
          <w:p>
            <w:pPr>
              <w:pStyle w:val="TableContents"/>
              <w:bidi w:val="0"/>
              <w:spacing w:lineRule="auto" w:line="252" w:before="8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lineRule="auto" w:line="252" w:before="80" w:after="283"/>
              <w:jc w:val="righ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lineRule="auto" w:line="252" w:before="80" w:after="283"/>
              <w:jc w:val="left"/>
              <w:rPr/>
            </w:pPr>
            <w:r>
              <w:rPr/>
              <w:t> </w:t>
            </w:r>
          </w:p>
        </w:tc>
        <w:tc>
          <w:tcPr>
            <w:tcW w:w="316" w:type="dxa"/>
            <w:tcBorders/>
            <w:tcMar>
              <w:top w:w="0" w:type="dxa"/>
              <w:left w:w="0" w:type="dxa"/>
              <w:bottom w:w="0" w:type="dxa"/>
              <w:right w:w="0" w:type="dxa"/>
            </w:tcMar>
            <w:vAlign w:val="center"/>
          </w:tcPr>
          <w:p>
            <w:pPr>
              <w:pStyle w:val="TableContents"/>
              <w:bidi w:val="0"/>
              <w:spacing w:lineRule="auto" w:line="252" w:before="80" w:after="283"/>
              <w:jc w:val="left"/>
              <w:rPr/>
            </w:pPr>
            <w:r>
              <w:rPr/>
              <w:t> </w:t>
            </w:r>
          </w:p>
        </w:tc>
        <w:tc>
          <w:tcPr>
            <w:tcW w:w="2086" w:type="dxa"/>
            <w:tcBorders/>
            <w:tcMar>
              <w:top w:w="0" w:type="dxa"/>
              <w:left w:w="0" w:type="dxa"/>
              <w:bottom w:w="0" w:type="dxa"/>
              <w:right w:w="0" w:type="dxa"/>
            </w:tcMar>
            <w:vAlign w:val="center"/>
          </w:tcPr>
          <w:p>
            <w:pPr>
              <w:pStyle w:val="TableContents"/>
              <w:bidi w:val="0"/>
              <w:spacing w:lineRule="auto" w:line="252" w:before="80" w:after="283"/>
              <w:jc w:val="left"/>
              <w:rPr>
                <w:rFonts w:ascii="Times New Roman" w:hAnsi="Times New Roman"/>
                <w:color w:val="000000"/>
                <w:sz w:val="18"/>
              </w:rPr>
            </w:pPr>
            <w:r>
              <w:rPr>
                <w:rFonts w:ascii="Times New Roman" w:hAnsi="Times New Roman"/>
                <w:color w:val="000000"/>
                <w:sz w:val="18"/>
              </w:rPr>
              <w:t xml:space="preserve">Emerging growth company </w:t>
            </w:r>
          </w:p>
        </w:tc>
        <w:tc>
          <w:tcPr>
            <w:tcW w:w="361" w:type="dxa"/>
            <w:tcBorders/>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r>
    </w:tbl>
    <w:p>
      <w:pPr>
        <w:pStyle w:val="TextBody"/>
        <w:bidi w:val="0"/>
        <w:spacing w:lineRule="auto" w:line="273"/>
        <w:jc w:val="left"/>
        <w:rPr/>
      </w:pPr>
      <w:r>
        <w:rPr/>
        <w:t> </w:t>
      </w:r>
    </w:p>
    <w:p>
      <w:pPr>
        <w:pStyle w:val="TextBody"/>
        <w:bidi w:val="0"/>
        <w:spacing w:lineRule="auto" w:line="273" w:before="80" w:after="283"/>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w:t>
      </w:r>
      <w:r>
        <w:rPr>
          <w:rFonts w:ascii="Times New Roman" w:hAnsi="Times New Roman"/>
          <w:color w:val="000000"/>
          <w:sz w:val="20"/>
        </w:rPr>
        <w:t xml:space="preserve"> </w:t>
      </w:r>
      <w:r>
        <w:rPr>
          <w:rFonts w:ascii="Times New Roman" w:hAnsi="Times New Roman"/>
          <w:color w:val="000000"/>
          <w:sz w:val="18"/>
        </w:rPr>
        <w:t>complying with any new or revised financial accounting standards provided pursuant to Section 13(a) of the Exchange Act. ☐</w:t>
      </w:r>
    </w:p>
    <w:p>
      <w:pPr>
        <w:pStyle w:val="TextBody"/>
        <w:bidi w:val="0"/>
        <w:spacing w:lineRule="auto" w:line="273"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lineRule="auto" w:line="273" w:before="80" w:after="283"/>
        <w:jc w:val="left"/>
        <w:rPr>
          <w:rFonts w:ascii="Times New Roman" w:hAnsi="Times New Roman"/>
          <w:sz w:val="20"/>
        </w:rPr>
      </w:pPr>
      <w:r>
        <w:rPr>
          <w:rFonts w:ascii="Times New Roman" w:hAnsi="Times New Roman"/>
          <w:color w:val="000000"/>
          <w:sz w:val="18"/>
        </w:rPr>
        <w:t>As of August 3, 2026, the registrant had 57,009,010</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spacing w:lineRule="auto" w:line="331"/>
        <w:jc w:val="center"/>
        <w:rPr/>
      </w:pPr>
      <w:r>
        <w:rPr/>
        <w:t> </w:t>
      </w:r>
    </w:p>
    <w:tbl>
      <w:tblPr>
        <w:tblW w:w="10205" w:type="dxa"/>
        <w:jc w:val="left"/>
        <w:tblInd w:w="0" w:type="dxa"/>
        <w:tblLayout w:type="fixed"/>
        <w:tblCellMar>
          <w:top w:w="28" w:type="dxa"/>
          <w:left w:w="28" w:type="dxa"/>
          <w:bottom w:w="28" w:type="dxa"/>
          <w:right w:w="28" w:type="dxa"/>
        </w:tblCellMar>
      </w:tblPr>
      <w:tblGrid>
        <w:gridCol w:w="805"/>
        <w:gridCol w:w="8888"/>
        <w:gridCol w:w="512"/>
      </w:tblGrid>
      <w:tr>
        <w:trPr/>
        <w:tc>
          <w:tcPr>
            <w:tcW w:w="805" w:type="dxa"/>
            <w:tcBorders/>
            <w:vAlign w:val="center"/>
          </w:tcPr>
          <w:p>
            <w:pPr>
              <w:pStyle w:val="TableContents"/>
              <w:bidi w:val="0"/>
              <w:spacing w:before="0" w:after="283"/>
              <w:jc w:val="left"/>
              <w:rPr>
                <w:sz w:val="4"/>
                <w:szCs w:val="4"/>
              </w:rPr>
            </w:pPr>
            <w:r>
              <w:rPr>
                <w:sz w:val="4"/>
                <w:szCs w:val="4"/>
              </w:rPr>
            </w:r>
          </w:p>
        </w:tc>
        <w:tc>
          <w:tcPr>
            <w:tcW w:w="888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05"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pPr>
            <w:r>
              <w:rPr/>
              <w:t> </w:t>
            </w:r>
          </w:p>
        </w:tc>
        <w:tc>
          <w:tcPr>
            <w:tcW w:w="8888"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pPr>
            <w:r>
              <w:rPr/>
              <w:t> </w:t>
            </w:r>
          </w:p>
        </w:tc>
        <w:tc>
          <w:tcPr>
            <w:tcW w:w="512" w:type="dxa"/>
            <w:tcBorders>
              <w:bottom w:val="single" w:sz="6" w:space="0" w:color="000000"/>
            </w:tcBorders>
            <w:shd w:fill="FFFFFF" w:val="clear"/>
            <w:tcMar>
              <w:top w:w="0" w:type="dxa"/>
              <w:left w:w="0" w:type="dxa"/>
              <w:right w:w="0" w:type="dxa"/>
            </w:tcMar>
            <w:vAlign w:val="center"/>
          </w:tcPr>
          <w:p>
            <w:pPr>
              <w:pStyle w:val="TableContents"/>
              <w:bidi w:val="0"/>
              <w:spacing w:lineRule="auto" w:line="302"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05"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b/>
                <w:color w:val="000000"/>
                <w:sz w:val="20"/>
              </w:rPr>
            </w:pPr>
            <w:r>
              <w:rPr>
                <w:rFonts w:ascii="Times New Roman" w:hAnsi="Times New Roman"/>
                <w:b/>
                <w:color w:val="000000"/>
                <w:sz w:val="20"/>
              </w:rPr>
              <w:t>PART I.</w:t>
            </w:r>
          </w:p>
        </w:tc>
        <w:tc>
          <w:tcPr>
            <w:tcW w:w="8888"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pPr>
            <w:hyperlink w:anchor="financial_statements">
              <w:r>
                <w:rPr>
                  <w:rStyle w:val="InternetLink"/>
                  <w:rFonts w:ascii="Times New Roman" w:hAnsi="Times New Roman"/>
                  <w:b/>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302" w:before="50" w:after="20"/>
              <w:jc w:val="right"/>
              <w:rPr>
                <w:rFonts w:ascii="Times New Roman" w:hAnsi="Times New Roman"/>
                <w:color w:val="000000"/>
                <w:sz w:val="20"/>
              </w:rPr>
            </w:pPr>
            <w:r>
              <w:rPr>
                <w:rFonts w:ascii="Times New Roman" w:hAnsi="Times New Roman"/>
                <w:color w:val="000000"/>
                <w:sz w:val="20"/>
              </w:rPr>
              <w:t>2</w:t>
            </w:r>
          </w:p>
        </w:tc>
      </w:tr>
      <w:tr>
        <w:trPr/>
        <w:tc>
          <w:tcPr>
            <w:tcW w:w="805"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Item 1.</w:t>
            </w:r>
          </w:p>
        </w:tc>
        <w:tc>
          <w:tcPr>
            <w:tcW w:w="8888"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pPr>
            <w:hyperlink w:anchor="financial_statements">
              <w:r>
                <w:rPr>
                  <w:rStyle w:val="InternetLink"/>
                  <w:rFonts w:ascii="Times New Roman" w:hAnsi="Times New Roman"/>
                  <w:color w:val="0000FF"/>
                  <w:sz w:val="20"/>
                  <w:u w:val="single"/>
                </w:rPr>
                <w:t>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302" w:before="65" w:after="20"/>
              <w:jc w:val="right"/>
              <w:rPr>
                <w:rFonts w:ascii="Times New Roman" w:hAnsi="Times New Roman"/>
                <w:color w:val="000000"/>
                <w:sz w:val="20"/>
              </w:rPr>
            </w:pPr>
            <w:r>
              <w:rPr>
                <w:rFonts w:ascii="Times New Roman" w:hAnsi="Times New Roman"/>
                <w:color w:val="000000"/>
                <w:sz w:val="20"/>
              </w:rPr>
              <w:t>2</w:t>
            </w:r>
          </w:p>
        </w:tc>
      </w:tr>
      <w:tr>
        <w:trPr/>
        <w:tc>
          <w:tcPr>
            <w:tcW w:w="805"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pPr>
            <w:r>
              <w:rPr/>
              <w:t> </w:t>
            </w:r>
          </w:p>
        </w:tc>
        <w:tc>
          <w:tcPr>
            <w:tcW w:w="8888" w:type="dxa"/>
            <w:tcBorders/>
            <w:tcMar>
              <w:top w:w="0" w:type="dxa"/>
              <w:left w:w="0" w:type="dxa"/>
              <w:bottom w:w="0" w:type="dxa"/>
              <w:right w:w="0" w:type="dxa"/>
            </w:tcMar>
            <w:vAlign w:val="center"/>
          </w:tcPr>
          <w:p>
            <w:pPr>
              <w:pStyle w:val="TableContents"/>
              <w:bidi w:val="0"/>
              <w:spacing w:lineRule="auto" w:line="302" w:before="0" w:after="283"/>
              <w:jc w:val="left"/>
              <w:rPr/>
            </w:pPr>
            <w:hyperlink w:anchor="consolidated_balance_sheets">
              <w:r>
                <w:rPr>
                  <w:rStyle w:val="InternetLink"/>
                  <w:rFonts w:ascii="Times New Roman" w:hAnsi="Times New Roman"/>
                  <w:color w:val="0000FF"/>
                  <w:sz w:val="20"/>
                  <w:u w:val="single"/>
                </w:rPr>
                <w:t>Condensed Consolidated Balance Sheets – June 30, 2026 and December 31, 2025 (Unaudited)</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302" w:before="65" w:after="20"/>
              <w:jc w:val="right"/>
              <w:rPr>
                <w:rFonts w:ascii="Times New Roman" w:hAnsi="Times New Roman"/>
                <w:color w:val="000000"/>
                <w:sz w:val="20"/>
              </w:rPr>
            </w:pPr>
            <w:r>
              <w:rPr>
                <w:rFonts w:ascii="Times New Roman" w:hAnsi="Times New Roman"/>
                <w:color w:val="000000"/>
                <w:sz w:val="20"/>
              </w:rPr>
              <w:t>2</w:t>
            </w:r>
          </w:p>
        </w:tc>
      </w:tr>
      <w:tr>
        <w:trPr/>
        <w:tc>
          <w:tcPr>
            <w:tcW w:w="805"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pPr>
            <w:r>
              <w:rPr/>
              <w:t> </w:t>
            </w:r>
          </w:p>
        </w:tc>
        <w:tc>
          <w:tcPr>
            <w:tcW w:w="8888" w:type="dxa"/>
            <w:tcBorders/>
            <w:tcMar>
              <w:top w:w="0" w:type="dxa"/>
              <w:left w:w="0" w:type="dxa"/>
              <w:bottom w:w="0" w:type="dxa"/>
              <w:right w:w="0" w:type="dxa"/>
            </w:tcMar>
            <w:vAlign w:val="center"/>
          </w:tcPr>
          <w:p>
            <w:pPr>
              <w:pStyle w:val="TableContents"/>
              <w:bidi w:val="0"/>
              <w:spacing w:lineRule="auto" w:line="302" w:before="0" w:after="283"/>
              <w:jc w:val="left"/>
              <w:rPr/>
            </w:pPr>
            <w:hyperlink w:anchor="statements_of_operations">
              <w:r>
                <w:rPr>
                  <w:rStyle w:val="InternetLink"/>
                  <w:rFonts w:ascii="Times New Roman" w:hAnsi="Times New Roman"/>
                  <w:color w:val="0000FF"/>
                  <w:sz w:val="20"/>
                  <w:u w:val="single"/>
                </w:rPr>
                <w:t>Condensed Consolidated Statements of Operations and Comprehensive (Loss) Income –Three and Six Months Ended June 30, 2026 and 2025 (Unaudited)</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302" w:before="65" w:after="20"/>
              <w:jc w:val="right"/>
              <w:rPr>
                <w:rFonts w:ascii="Times New Roman" w:hAnsi="Times New Roman"/>
                <w:color w:val="000000"/>
                <w:sz w:val="20"/>
              </w:rPr>
            </w:pPr>
            <w:r>
              <w:rPr>
                <w:rFonts w:ascii="Times New Roman" w:hAnsi="Times New Roman"/>
                <w:color w:val="000000"/>
                <w:sz w:val="20"/>
              </w:rPr>
              <w:t>3</w:t>
            </w:r>
          </w:p>
        </w:tc>
      </w:tr>
      <w:tr>
        <w:trPr/>
        <w:tc>
          <w:tcPr>
            <w:tcW w:w="805"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pPr>
            <w:r>
              <w:rPr/>
              <w:t> </w:t>
            </w:r>
          </w:p>
        </w:tc>
        <w:tc>
          <w:tcPr>
            <w:tcW w:w="8888" w:type="dxa"/>
            <w:tcBorders/>
            <w:tcMar>
              <w:top w:w="0" w:type="dxa"/>
              <w:left w:w="0" w:type="dxa"/>
              <w:bottom w:w="0" w:type="dxa"/>
              <w:right w:w="0" w:type="dxa"/>
            </w:tcMar>
            <w:vAlign w:val="center"/>
          </w:tcPr>
          <w:p>
            <w:pPr>
              <w:pStyle w:val="TableContents"/>
              <w:bidi w:val="0"/>
              <w:spacing w:lineRule="auto" w:line="302" w:before="0" w:after="283"/>
              <w:jc w:val="left"/>
              <w:rPr/>
            </w:pPr>
            <w:hyperlink w:anchor="statements_of_stockholders_equity">
              <w:r>
                <w:rPr>
                  <w:rStyle w:val="InternetLink"/>
                  <w:rFonts w:ascii="Times New Roman" w:hAnsi="Times New Roman"/>
                  <w:color w:val="0000FF"/>
                  <w:sz w:val="20"/>
                  <w:u w:val="single"/>
                </w:rPr>
                <w:t>Condensed Consolidated Statements of Stockholders’ Equity – Three and Six Months Ended June 30, 2026 and 2025 (Unaudited)</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302" w:before="65" w:after="20"/>
              <w:jc w:val="right"/>
              <w:rPr>
                <w:rFonts w:ascii="Times New Roman" w:hAnsi="Times New Roman"/>
                <w:color w:val="000000"/>
                <w:sz w:val="20"/>
              </w:rPr>
            </w:pPr>
            <w:r>
              <w:rPr>
                <w:rFonts w:ascii="Times New Roman" w:hAnsi="Times New Roman"/>
                <w:color w:val="000000"/>
                <w:sz w:val="20"/>
              </w:rPr>
              <w:t>4</w:t>
            </w:r>
          </w:p>
        </w:tc>
      </w:tr>
      <w:tr>
        <w:trPr/>
        <w:tc>
          <w:tcPr>
            <w:tcW w:w="805"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pPr>
            <w:r>
              <w:rPr/>
              <w:t> </w:t>
            </w:r>
          </w:p>
        </w:tc>
        <w:tc>
          <w:tcPr>
            <w:tcW w:w="8888" w:type="dxa"/>
            <w:tcBorders/>
            <w:tcMar>
              <w:top w:w="0" w:type="dxa"/>
              <w:left w:w="0" w:type="dxa"/>
              <w:bottom w:w="0" w:type="dxa"/>
              <w:right w:w="0" w:type="dxa"/>
            </w:tcMar>
            <w:vAlign w:val="center"/>
          </w:tcPr>
          <w:p>
            <w:pPr>
              <w:pStyle w:val="TableContents"/>
              <w:bidi w:val="0"/>
              <w:spacing w:lineRule="auto" w:line="302" w:before="0" w:after="283"/>
              <w:jc w:val="left"/>
              <w:rPr/>
            </w:pPr>
            <w:hyperlink w:anchor="statements_of_cash_flows">
              <w:r>
                <w:rPr>
                  <w:rStyle w:val="InternetLink"/>
                  <w:rFonts w:ascii="Times New Roman" w:hAnsi="Times New Roman"/>
                  <w:color w:val="0000FF"/>
                  <w:sz w:val="20"/>
                  <w:u w:val="single"/>
                </w:rPr>
                <w:t>Condensed Consolidated Statements of Cash Flows – Six Months Ended June 30, 2026 and 2025 (Unaudited)</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302" w:before="65" w:after="20"/>
              <w:jc w:val="right"/>
              <w:rPr>
                <w:rFonts w:ascii="Times New Roman" w:hAnsi="Times New Roman"/>
                <w:color w:val="000000"/>
                <w:sz w:val="20"/>
              </w:rPr>
            </w:pPr>
            <w:r>
              <w:rPr>
                <w:rFonts w:ascii="Times New Roman" w:hAnsi="Times New Roman"/>
                <w:color w:val="000000"/>
                <w:sz w:val="20"/>
              </w:rPr>
              <w:t>6</w:t>
            </w:r>
          </w:p>
        </w:tc>
      </w:tr>
      <w:tr>
        <w:trPr/>
        <w:tc>
          <w:tcPr>
            <w:tcW w:w="805"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pPr>
            <w:r>
              <w:rPr/>
              <w:t> </w:t>
            </w:r>
          </w:p>
        </w:tc>
        <w:tc>
          <w:tcPr>
            <w:tcW w:w="8888"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pPr>
            <w:hyperlink w:anchor="notes_to_consolidated_financial_stmt">
              <w:r>
                <w:rPr>
                  <w:rStyle w:val="InternetLink"/>
                  <w:rFonts w:ascii="Times New Roman" w:hAnsi="Times New Roman"/>
                  <w:color w:val="0000FF"/>
                  <w:sz w:val="20"/>
                  <w:u w:val="single"/>
                </w:rPr>
                <w:t>Notes to Condensed Consolidated 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302" w:before="65" w:after="20"/>
              <w:jc w:val="right"/>
              <w:rPr>
                <w:rFonts w:ascii="Times New Roman" w:hAnsi="Times New Roman"/>
                <w:color w:val="000000"/>
                <w:sz w:val="20"/>
              </w:rPr>
            </w:pPr>
            <w:r>
              <w:rPr>
                <w:rFonts w:ascii="Times New Roman" w:hAnsi="Times New Roman"/>
                <w:color w:val="000000"/>
                <w:sz w:val="20"/>
              </w:rPr>
              <w:t>7</w:t>
            </w:r>
          </w:p>
        </w:tc>
      </w:tr>
      <w:tr>
        <w:trPr/>
        <w:tc>
          <w:tcPr>
            <w:tcW w:w="805"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Item 2.</w:t>
            </w:r>
          </w:p>
        </w:tc>
        <w:tc>
          <w:tcPr>
            <w:tcW w:w="8888"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pPr>
            <w:hyperlink w:anchor="item2_management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302" w:before="65" w:after="20"/>
              <w:jc w:val="right"/>
              <w:rPr>
                <w:rFonts w:ascii="Times New Roman" w:hAnsi="Times New Roman"/>
                <w:color w:val="000000"/>
                <w:sz w:val="20"/>
              </w:rPr>
            </w:pPr>
            <w:r>
              <w:rPr>
                <w:rFonts w:ascii="Times New Roman" w:hAnsi="Times New Roman"/>
                <w:color w:val="000000"/>
                <w:sz w:val="20"/>
              </w:rPr>
              <w:t>29</w:t>
            </w:r>
          </w:p>
        </w:tc>
      </w:tr>
      <w:tr>
        <w:trPr/>
        <w:tc>
          <w:tcPr>
            <w:tcW w:w="805"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Item 3.</w:t>
            </w:r>
          </w:p>
        </w:tc>
        <w:tc>
          <w:tcPr>
            <w:tcW w:w="8888"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pPr>
            <w:hyperlink w:anchor="item3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302" w:before="65" w:after="20"/>
              <w:jc w:val="right"/>
              <w:rPr>
                <w:rFonts w:ascii="Times New Roman" w:hAnsi="Times New Roman"/>
                <w:color w:val="000000"/>
                <w:sz w:val="20"/>
              </w:rPr>
            </w:pPr>
            <w:r>
              <w:rPr>
                <w:rFonts w:ascii="Times New Roman" w:hAnsi="Times New Roman"/>
                <w:color w:val="000000"/>
                <w:sz w:val="20"/>
              </w:rPr>
              <w:t>39</w:t>
            </w:r>
          </w:p>
        </w:tc>
      </w:tr>
      <w:tr>
        <w:trPr/>
        <w:tc>
          <w:tcPr>
            <w:tcW w:w="805"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Item 4.</w:t>
            </w:r>
          </w:p>
        </w:tc>
        <w:tc>
          <w:tcPr>
            <w:tcW w:w="8888" w:type="dxa"/>
            <w:tcBorders/>
            <w:shd w:fill="FFFFFF" w:val="clear"/>
            <w:tcMar>
              <w:top w:w="0" w:type="dxa"/>
              <w:left w:w="0" w:type="dxa"/>
              <w:bottom w:w="0" w:type="dxa"/>
              <w:right w:w="0" w:type="dxa"/>
            </w:tcMar>
            <w:vAlign w:val="center"/>
          </w:tcPr>
          <w:p>
            <w:pPr>
              <w:pStyle w:val="TableContents"/>
              <w:bidi w:val="0"/>
              <w:spacing w:lineRule="auto" w:line="302" w:before="65" w:after="20"/>
              <w:jc w:val="left"/>
              <w:rPr/>
            </w:pPr>
            <w:hyperlink w:anchor="item4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302" w:before="65" w:after="20"/>
              <w:jc w:val="right"/>
              <w:rPr>
                <w:rFonts w:ascii="Times New Roman" w:hAnsi="Times New Roman"/>
                <w:color w:val="000000"/>
                <w:sz w:val="20"/>
              </w:rPr>
            </w:pPr>
            <w:r>
              <w:rPr>
                <w:rFonts w:ascii="Times New Roman" w:hAnsi="Times New Roman"/>
                <w:color w:val="000000"/>
                <w:sz w:val="20"/>
              </w:rPr>
              <w:t>40</w:t>
            </w:r>
          </w:p>
        </w:tc>
      </w:tr>
      <w:tr>
        <w:trPr/>
        <w:tc>
          <w:tcPr>
            <w:tcW w:w="805"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b/>
                <w:color w:val="000000"/>
                <w:sz w:val="20"/>
              </w:rPr>
            </w:pPr>
            <w:r>
              <w:rPr>
                <w:rFonts w:ascii="Times New Roman" w:hAnsi="Times New Roman"/>
                <w:b/>
                <w:color w:val="000000"/>
                <w:sz w:val="20"/>
              </w:rPr>
              <w:t>PART II.</w:t>
            </w:r>
          </w:p>
        </w:tc>
        <w:tc>
          <w:tcPr>
            <w:tcW w:w="8888"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pPr>
            <w:hyperlink w:anchor="part_ii_other_information">
              <w:r>
                <w:rPr>
                  <w:rStyle w:val="InternetLink"/>
                  <w:rFonts w:ascii="Times New Roman" w:hAnsi="Times New Roman"/>
                  <w:b/>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302" w:before="65" w:after="20"/>
              <w:jc w:val="right"/>
              <w:rPr>
                <w:rFonts w:ascii="Times New Roman" w:hAnsi="Times New Roman"/>
                <w:color w:val="000000"/>
                <w:sz w:val="20"/>
              </w:rPr>
            </w:pPr>
            <w:r>
              <w:rPr>
                <w:rFonts w:ascii="Times New Roman" w:hAnsi="Times New Roman"/>
                <w:color w:val="000000"/>
                <w:sz w:val="20"/>
              </w:rPr>
              <w:t>41</w:t>
            </w:r>
          </w:p>
        </w:tc>
      </w:tr>
      <w:tr>
        <w:trPr/>
        <w:tc>
          <w:tcPr>
            <w:tcW w:w="805"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pPr>
            <w:hyperlink w:anchor="section42">
              <w:r>
                <w:rPr>
                  <w:rStyle w:val="InternetLink"/>
                  <w:rFonts w:ascii="Times New Roman" w:hAnsi="Times New Roman"/>
                  <w:color w:val="000000"/>
                  <w:sz w:val="20"/>
                </w:rPr>
                <w:t>Item 1.</w:t>
              </w:r>
            </w:hyperlink>
          </w:p>
        </w:tc>
        <w:tc>
          <w:tcPr>
            <w:tcW w:w="8888"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302" w:before="65" w:after="20"/>
              <w:jc w:val="right"/>
              <w:rPr>
                <w:rFonts w:ascii="Times New Roman" w:hAnsi="Times New Roman"/>
                <w:color w:val="000000"/>
                <w:sz w:val="20"/>
              </w:rPr>
            </w:pPr>
            <w:r>
              <w:rPr>
                <w:rFonts w:ascii="Times New Roman" w:hAnsi="Times New Roman"/>
                <w:color w:val="000000"/>
                <w:sz w:val="20"/>
              </w:rPr>
              <w:t>41</w:t>
            </w:r>
          </w:p>
        </w:tc>
      </w:tr>
      <w:tr>
        <w:trPr/>
        <w:tc>
          <w:tcPr>
            <w:tcW w:w="805"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Item 1A.</w:t>
            </w:r>
          </w:p>
        </w:tc>
        <w:tc>
          <w:tcPr>
            <w:tcW w:w="8888"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302" w:before="65" w:after="20"/>
              <w:jc w:val="right"/>
              <w:rPr>
                <w:rFonts w:ascii="Times New Roman" w:hAnsi="Times New Roman"/>
                <w:color w:val="000000"/>
                <w:sz w:val="20"/>
              </w:rPr>
            </w:pPr>
            <w:r>
              <w:rPr>
                <w:rFonts w:ascii="Times New Roman" w:hAnsi="Times New Roman"/>
                <w:color w:val="000000"/>
                <w:sz w:val="20"/>
              </w:rPr>
              <w:t>41</w:t>
            </w:r>
          </w:p>
        </w:tc>
      </w:tr>
      <w:tr>
        <w:trPr/>
        <w:tc>
          <w:tcPr>
            <w:tcW w:w="805"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Item 2.</w:t>
            </w:r>
          </w:p>
        </w:tc>
        <w:tc>
          <w:tcPr>
            <w:tcW w:w="8888"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pPr>
            <w:hyperlink w:anchor="unregistered_sales_of_equity">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302" w:before="65" w:after="20"/>
              <w:jc w:val="right"/>
              <w:rPr>
                <w:rFonts w:ascii="Times New Roman" w:hAnsi="Times New Roman"/>
                <w:color w:val="000000"/>
                <w:sz w:val="20"/>
              </w:rPr>
            </w:pPr>
            <w:r>
              <w:rPr>
                <w:rFonts w:ascii="Times New Roman" w:hAnsi="Times New Roman"/>
                <w:color w:val="000000"/>
                <w:sz w:val="20"/>
              </w:rPr>
              <w:t>115</w:t>
            </w:r>
          </w:p>
        </w:tc>
      </w:tr>
      <w:tr>
        <w:trPr/>
        <w:tc>
          <w:tcPr>
            <w:tcW w:w="805"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Item 3.</w:t>
            </w:r>
          </w:p>
        </w:tc>
        <w:tc>
          <w:tcPr>
            <w:tcW w:w="8888"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pPr>
            <w:hyperlink w:anchor="defaults_upon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302" w:before="65" w:after="20"/>
              <w:jc w:val="right"/>
              <w:rPr>
                <w:rFonts w:ascii="Times New Roman" w:hAnsi="Times New Roman"/>
                <w:color w:val="000000"/>
                <w:sz w:val="20"/>
              </w:rPr>
            </w:pPr>
            <w:r>
              <w:rPr>
                <w:rFonts w:ascii="Times New Roman" w:hAnsi="Times New Roman"/>
                <w:color w:val="000000"/>
                <w:sz w:val="20"/>
              </w:rPr>
              <w:t>115</w:t>
            </w:r>
          </w:p>
        </w:tc>
      </w:tr>
      <w:tr>
        <w:trPr/>
        <w:tc>
          <w:tcPr>
            <w:tcW w:w="805"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Item 4.</w:t>
            </w:r>
          </w:p>
        </w:tc>
        <w:tc>
          <w:tcPr>
            <w:tcW w:w="8888"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pPr>
            <w:hyperlink w:anchor="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302" w:before="65" w:after="20"/>
              <w:jc w:val="right"/>
              <w:rPr>
                <w:rFonts w:ascii="Times New Roman" w:hAnsi="Times New Roman"/>
                <w:color w:val="000000"/>
                <w:sz w:val="20"/>
              </w:rPr>
            </w:pPr>
            <w:r>
              <w:rPr>
                <w:rFonts w:ascii="Times New Roman" w:hAnsi="Times New Roman"/>
                <w:color w:val="000000"/>
                <w:sz w:val="20"/>
              </w:rPr>
              <w:t>115</w:t>
            </w:r>
          </w:p>
        </w:tc>
      </w:tr>
      <w:tr>
        <w:trPr/>
        <w:tc>
          <w:tcPr>
            <w:tcW w:w="805"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Item 5.</w:t>
            </w:r>
          </w:p>
        </w:tc>
        <w:tc>
          <w:tcPr>
            <w:tcW w:w="8888"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pPr>
            <w:hyperlink w:anchor="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302" w:before="65" w:after="20"/>
              <w:jc w:val="right"/>
              <w:rPr>
                <w:rFonts w:ascii="Times New Roman" w:hAnsi="Times New Roman"/>
                <w:color w:val="000000"/>
                <w:sz w:val="20"/>
              </w:rPr>
            </w:pPr>
            <w:r>
              <w:rPr>
                <w:rFonts w:ascii="Times New Roman" w:hAnsi="Times New Roman"/>
                <w:color w:val="000000"/>
                <w:sz w:val="20"/>
              </w:rPr>
              <w:t>115</w:t>
            </w:r>
          </w:p>
        </w:tc>
      </w:tr>
      <w:tr>
        <w:trPr/>
        <w:tc>
          <w:tcPr>
            <w:tcW w:w="805"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Item 6.</w:t>
            </w:r>
          </w:p>
        </w:tc>
        <w:tc>
          <w:tcPr>
            <w:tcW w:w="8888" w:type="dxa"/>
            <w:tcBorders/>
            <w:shd w:fill="FFFFFF" w:val="clear"/>
            <w:tcMar>
              <w:top w:w="0" w:type="dxa"/>
              <w:left w:w="0" w:type="dxa"/>
              <w:bottom w:w="0" w:type="dxa"/>
              <w:right w:w="0" w:type="dxa"/>
            </w:tcMar>
            <w:vAlign w:val="center"/>
          </w:tcPr>
          <w:p>
            <w:pPr>
              <w:pStyle w:val="TableContents"/>
              <w:bidi w:val="0"/>
              <w:spacing w:lineRule="auto" w:line="302" w:before="0" w:after="283"/>
              <w:jc w:val="left"/>
              <w:rPr/>
            </w:pPr>
            <w:hyperlink w:anchor="item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302" w:before="65" w:after="20"/>
              <w:jc w:val="right"/>
              <w:rPr>
                <w:rFonts w:ascii="Times New Roman" w:hAnsi="Times New Roman"/>
                <w:color w:val="000000"/>
                <w:sz w:val="20"/>
              </w:rPr>
            </w:pPr>
            <w:r>
              <w:rPr>
                <w:rFonts w:ascii="Times New Roman" w:hAnsi="Times New Roman"/>
                <w:color w:val="000000"/>
                <w:sz w:val="20"/>
              </w:rPr>
              <w:t>116</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lineRule="auto" w:line="302"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lineRule="auto" w:line="302" w:before="65" w:after="20"/>
              <w:jc w:val="right"/>
              <w:rPr>
                <w:rFonts w:ascii="Times New Roman" w:hAnsi="Times New Roman"/>
                <w:color w:val="000000"/>
                <w:sz w:val="20"/>
              </w:rPr>
            </w:pPr>
            <w:r>
              <w:rPr>
                <w:rFonts w:ascii="Times New Roman" w:hAnsi="Times New Roman"/>
                <w:color w:val="000000"/>
                <w:sz w:val="20"/>
              </w:rPr>
              <w:t>117</w:t>
            </w:r>
          </w:p>
        </w:tc>
      </w:tr>
    </w:tbl>
    <w:p>
      <w:pPr>
        <w:pStyle w:val="TextBody"/>
        <w:bidi w:val="0"/>
        <w:spacing w:lineRule="auto" w:line="331"/>
        <w:jc w:val="center"/>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I—FINANCIAL INFORMATION</w:t>
      </w:r>
    </w:p>
    <w:p>
      <w:pPr>
        <w:pStyle w:val="TextBody"/>
        <w:bidi w:val="0"/>
        <w:spacing w:lineRule="auto" w:line="331" w:before="200" w:after="283"/>
        <w:jc w:val="both"/>
        <w:rPr>
          <w:rFonts w:ascii="Times New Roman" w:hAnsi="Times New Roman"/>
          <w:b/>
          <w:color w:val="000000"/>
          <w:sz w:val="20"/>
        </w:rPr>
      </w:pPr>
      <w:bookmarkStart w:id="4" w:name="financial_statements"/>
      <w:bookmarkEnd w:id="4"/>
      <w:r>
        <w:rPr>
          <w:rFonts w:ascii="Times New Roman" w:hAnsi="Times New Roman"/>
          <w:b/>
          <w:color w:val="000000"/>
          <w:sz w:val="20"/>
        </w:rPr>
        <w:t>Item 1. Financial Statements.</w:t>
      </w:r>
    </w:p>
    <w:p>
      <w:pPr>
        <w:pStyle w:val="TextBody"/>
        <w:bidi w:val="0"/>
        <w:spacing w:lineRule="auto" w:line="331" w:before="200" w:after="283"/>
        <w:jc w:val="center"/>
        <w:rPr>
          <w:rFonts w:ascii="Times New Roman" w:hAnsi="Times New Roman"/>
          <w:b/>
          <w:color w:val="000000"/>
          <w:sz w:val="20"/>
        </w:rPr>
      </w:pPr>
      <w:r>
        <w:rPr>
          <w:rFonts w:ascii="Times New Roman" w:hAnsi="Times New Roman"/>
          <w:b/>
          <w:color w:val="000000"/>
          <w:sz w:val="20"/>
        </w:rPr>
        <w:t>WHITEHAWK THERAPEUTICS, INC.</w:t>
      </w:r>
    </w:p>
    <w:p>
      <w:pPr>
        <w:pStyle w:val="TextBody"/>
        <w:bidi w:val="0"/>
        <w:spacing w:lineRule="auto" w:line="331" w:before="200" w:after="283"/>
        <w:jc w:val="center"/>
        <w:rPr>
          <w:rFonts w:ascii="Times New Roman" w:hAnsi="Times New Roman"/>
          <w:b/>
          <w:color w:val="000000"/>
          <w:sz w:val="20"/>
        </w:rPr>
      </w:pPr>
      <w:bookmarkStart w:id="5" w:name="consolidated_balance_sheets"/>
      <w:bookmarkEnd w:id="5"/>
      <w:r>
        <w:rPr>
          <w:rFonts w:ascii="Times New Roman" w:hAnsi="Times New Roman"/>
          <w:b/>
          <w:color w:val="000000"/>
          <w:sz w:val="20"/>
        </w:rPr>
        <w:t>Condensed Consolidated Balance Sheets</w:t>
      </w:r>
    </w:p>
    <w:p>
      <w:pPr>
        <w:pStyle w:val="TextBody"/>
        <w:bidi w:val="0"/>
        <w:spacing w:lineRule="auto" w:line="331"/>
        <w:jc w:val="center"/>
        <w:rPr>
          <w:rFonts w:ascii="Times New Roman" w:hAnsi="Times New Roman"/>
          <w:i/>
          <w:color w:val="000000"/>
          <w:sz w:val="20"/>
        </w:rPr>
      </w:pPr>
      <w:r>
        <w:rPr>
          <w:rFonts w:ascii="Times New Roman" w:hAnsi="Times New Roman"/>
          <w:i/>
          <w:color w:val="000000"/>
          <w:sz w:val="20"/>
        </w:rPr>
        <w:t>(In thousands, except share data and par value)</w:t>
      </w:r>
    </w:p>
    <w:p>
      <w:pPr>
        <w:pStyle w:val="TextBody"/>
        <w:bidi w:val="0"/>
        <w:spacing w:lineRule="auto" w:line="331"/>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lineRule="auto" w:line="331"/>
        <w:jc w:val="both"/>
        <w:rPr/>
      </w:pPr>
      <w:r>
        <w:rPr/>
        <w:t> </w:t>
      </w:r>
    </w:p>
    <w:tbl>
      <w:tblPr>
        <w:tblW w:w="10205" w:type="dxa"/>
        <w:jc w:val="left"/>
        <w:tblInd w:w="0" w:type="dxa"/>
        <w:tblLayout w:type="fixed"/>
        <w:tblCellMar>
          <w:top w:w="28" w:type="dxa"/>
          <w:left w:w="28" w:type="dxa"/>
          <w:bottom w:w="28" w:type="dxa"/>
          <w:right w:w="28" w:type="dxa"/>
        </w:tblCellMar>
      </w:tblPr>
      <w:tblGrid>
        <w:gridCol w:w="7234"/>
        <w:gridCol w:w="146"/>
        <w:gridCol w:w="211"/>
        <w:gridCol w:w="841"/>
        <w:gridCol w:w="166"/>
        <w:gridCol w:w="146"/>
        <w:gridCol w:w="214"/>
        <w:gridCol w:w="855"/>
        <w:gridCol w:w="392"/>
      </w:tblGrid>
      <w:tr>
        <w:trPr/>
        <w:tc>
          <w:tcPr>
            <w:tcW w:w="7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85,234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37,568</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104,748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108,129</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3,316</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192,414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149,013</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193,994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150,830</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917</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13,602</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14,519</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11,069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14,519</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10,000,000 shares authorized; no shares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300,000,000 shares authorized; 57,009,010 and 47,145,719 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575,067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489,437</w:t>
            </w:r>
          </w:p>
        </w:tc>
        <w:tc>
          <w:tcPr>
            <w:tcW w:w="39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120</w:t>
            </w:r>
          </w:p>
        </w:tc>
        <w:tc>
          <w:tcPr>
            <w:tcW w:w="39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(392,084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(353,250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723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182,925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136,311</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193,994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150,830</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both"/>
        <w:rPr/>
      </w:pPr>
      <w:r>
        <w:rPr/>
        <w:t> </w:t>
      </w:r>
    </w:p>
    <w:p>
      <w:pPr>
        <w:pStyle w:val="TextBody"/>
        <w:bidi w:val="0"/>
        <w:spacing w:lineRule="auto" w:line="331"/>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lineRule="auto" w:line="273"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WHITEHAWK THERAPEUTICS, INC.</w:t>
      </w:r>
    </w:p>
    <w:p>
      <w:pPr>
        <w:pStyle w:val="TextBody"/>
        <w:bidi w:val="0"/>
        <w:spacing w:lineRule="auto" w:line="331" w:before="200" w:after="283"/>
        <w:jc w:val="center"/>
        <w:rPr>
          <w:rFonts w:ascii="Times New Roman" w:hAnsi="Times New Roman"/>
          <w:sz w:val="20"/>
        </w:rPr>
      </w:pPr>
      <w:bookmarkStart w:id="6" w:name="statements_of_operations"/>
      <w:bookmarkEnd w:id="6"/>
      <w:r>
        <w:rPr>
          <w:rFonts w:ascii="Times New Roman" w:hAnsi="Times New Roman"/>
          <w:b/>
          <w:color w:val="000000"/>
          <w:sz w:val="20"/>
        </w:rPr>
        <w:t>Condensed Consolidated Statements of Operations and Comprehensive (Loss) Income</w:t>
      </w:r>
      <w:r>
        <w:rPr>
          <w:rFonts w:ascii="Times New Roman" w:hAnsi="Times New Roman"/>
          <w:color w:val="000000"/>
          <w:sz w:val="20"/>
        </w:rPr>
        <w:t xml:space="preserve"> </w:t>
      </w:r>
    </w:p>
    <w:p>
      <w:pPr>
        <w:pStyle w:val="TextBody"/>
        <w:bidi w:val="0"/>
        <w:spacing w:lineRule="auto" w:line="331"/>
        <w:jc w:val="center"/>
        <w:rPr>
          <w:rFonts w:ascii="Times New Roman" w:hAnsi="Times New Roman"/>
          <w:i/>
          <w:color w:val="000000"/>
          <w:sz w:val="20"/>
        </w:rPr>
      </w:pPr>
      <w:r>
        <w:rPr>
          <w:rFonts w:ascii="Times New Roman" w:hAnsi="Times New Roman"/>
          <w:i/>
          <w:color w:val="000000"/>
          <w:sz w:val="20"/>
        </w:rPr>
        <w:t>(In thousands, except share data and earnings per share amounts)</w:t>
      </w:r>
    </w:p>
    <w:p>
      <w:pPr>
        <w:pStyle w:val="TextBody"/>
        <w:bidi w:val="0"/>
        <w:spacing w:lineRule="auto" w:line="331"/>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lineRule="auto" w:line="331"/>
        <w:jc w:val="center"/>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Product sales,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5,216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5,940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11,506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18,755</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12,893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48,809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30,125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57,597</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77,112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(18,109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(54,749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(41,631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(69,967</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Gain on sale of business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87,443</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Foreign exchange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158</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90,368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Loss (income)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(16,640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(52,615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(38,834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20,401</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(16,640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(52,615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(38,834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20,401</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investments, net of tax</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Comprehensive (loss) income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20,394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 income per share: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82,886,196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69,083,127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76,099,275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54,443,309</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82,886,196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69,083,127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76,099,275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54,908,715</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center"/>
        <w:rPr/>
      </w:pPr>
      <w:r>
        <w:rPr/>
        <w:t> </w:t>
      </w:r>
    </w:p>
    <w:p>
      <w:pPr>
        <w:pStyle w:val="TextBody"/>
        <w:bidi w:val="0"/>
        <w:spacing w:lineRule="auto" w:line="331"/>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WHITEHAWK THERAPEUTICS, INC.</w:t>
      </w:r>
    </w:p>
    <w:p>
      <w:pPr>
        <w:pStyle w:val="TextBody"/>
        <w:bidi w:val="0"/>
        <w:spacing w:lineRule="auto" w:line="331" w:before="200" w:after="283"/>
        <w:jc w:val="center"/>
        <w:rPr>
          <w:rFonts w:ascii="Times New Roman" w:hAnsi="Times New Roman"/>
          <w:sz w:val="20"/>
        </w:rPr>
      </w:pPr>
      <w:bookmarkStart w:id="7" w:name="statements_of_stockholders_equity"/>
      <w:bookmarkEnd w:id="7"/>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Stockholders’ Equity</w:t>
      </w:r>
    </w:p>
    <w:p>
      <w:pPr>
        <w:pStyle w:val="TextBody"/>
        <w:bidi w:val="0"/>
        <w:spacing w:lineRule="auto" w:line="331"/>
        <w:jc w:val="center"/>
        <w:rPr>
          <w:rFonts w:ascii="Times New Roman" w:hAnsi="Times New Roman"/>
          <w:i/>
          <w:color w:val="000000"/>
          <w:sz w:val="20"/>
        </w:rPr>
      </w:pPr>
      <w:r>
        <w:rPr>
          <w:rFonts w:ascii="Times New Roman" w:hAnsi="Times New Roman"/>
          <w:i/>
          <w:color w:val="000000"/>
          <w:sz w:val="20"/>
        </w:rPr>
        <w:t>(In thousands, including share amounts)</w:t>
      </w:r>
    </w:p>
    <w:p>
      <w:pPr>
        <w:pStyle w:val="TextBody"/>
        <w:bidi w:val="0"/>
        <w:spacing w:lineRule="auto" w:line="331"/>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462"/>
        <w:gridCol w:w="146"/>
        <w:gridCol w:w="146"/>
        <w:gridCol w:w="676"/>
        <w:gridCol w:w="146"/>
        <w:gridCol w:w="146"/>
        <w:gridCol w:w="231"/>
        <w:gridCol w:w="379"/>
        <w:gridCol w:w="146"/>
        <w:gridCol w:w="146"/>
        <w:gridCol w:w="211"/>
        <w:gridCol w:w="781"/>
        <w:gridCol w:w="146"/>
        <w:gridCol w:w="146"/>
        <w:gridCol w:w="370"/>
        <w:gridCol w:w="846"/>
        <w:gridCol w:w="166"/>
        <w:gridCol w:w="146"/>
        <w:gridCol w:w="211"/>
        <w:gridCol w:w="841"/>
        <w:gridCol w:w="166"/>
        <w:gridCol w:w="146"/>
        <w:gridCol w:w="211"/>
        <w:gridCol w:w="781"/>
        <w:gridCol w:w="413"/>
      </w:tblGrid>
      <w:tr>
        <w:trPr/>
        <w:tc>
          <w:tcPr>
            <w:tcW w:w="2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84" w:type="dxa"/>
            <w:gridSpan w:val="2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For the Three and Six Months Ended June 30, 2026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184" w:type="dxa"/>
            <w:gridSpan w:val="2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4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47,145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489,437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(353,250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136,311</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6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2,193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2,193</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6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in conjunction with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6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Unrealized loss on investments, net of tax</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(135</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(22,194</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491,630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(375,444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116,175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246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1,520</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6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upon exercise of warrants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3,210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6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6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under the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6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in conjunction with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2,232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6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Private placement, net of transaction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4,331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81,833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81,834</w:t>
            </w:r>
          </w:p>
        </w:tc>
        <w:tc>
          <w:tcPr>
            <w:tcW w:w="41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6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Unrealized loss on investments, net of tax</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w:t>
            </w:r>
          </w:p>
        </w:tc>
        <w:tc>
          <w:tcPr>
            <w:tcW w:w="41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(16,640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4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57,009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575,067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(392,084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182,925</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273"/>
        <w:jc w:val="left"/>
        <w:rPr/>
      </w:pPr>
      <w:r>
        <w:rPr/>
        <w:t> </w:t>
      </w:r>
    </w:p>
    <w:tbl>
      <w:tblPr>
        <w:tblW w:w="10205" w:type="dxa"/>
        <w:jc w:val="left"/>
        <w:tblInd w:w="0" w:type="dxa"/>
        <w:tblLayout w:type="fixed"/>
        <w:tblCellMar>
          <w:top w:w="28" w:type="dxa"/>
          <w:left w:w="28" w:type="dxa"/>
          <w:bottom w:w="28" w:type="dxa"/>
          <w:right w:w="28" w:type="dxa"/>
        </w:tblCellMar>
      </w:tblPr>
      <w:tblGrid>
        <w:gridCol w:w="2443"/>
        <w:gridCol w:w="146"/>
        <w:gridCol w:w="146"/>
        <w:gridCol w:w="676"/>
        <w:gridCol w:w="146"/>
        <w:gridCol w:w="146"/>
        <w:gridCol w:w="231"/>
        <w:gridCol w:w="379"/>
        <w:gridCol w:w="146"/>
        <w:gridCol w:w="146"/>
        <w:gridCol w:w="211"/>
        <w:gridCol w:w="781"/>
        <w:gridCol w:w="166"/>
        <w:gridCol w:w="146"/>
        <w:gridCol w:w="437"/>
        <w:gridCol w:w="779"/>
        <w:gridCol w:w="166"/>
        <w:gridCol w:w="146"/>
        <w:gridCol w:w="211"/>
        <w:gridCol w:w="841"/>
        <w:gridCol w:w="166"/>
        <w:gridCol w:w="146"/>
        <w:gridCol w:w="211"/>
        <w:gridCol w:w="781"/>
        <w:gridCol w:w="412"/>
      </w:tblGrid>
      <w:tr>
        <w:trPr/>
        <w:tc>
          <w:tcPr>
            <w:tcW w:w="2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04" w:type="dxa"/>
            <w:gridSpan w:val="2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For the Three and Six Months Ended June 30, 2025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204" w:type="dxa"/>
            <w:gridSpan w:val="2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Stockholders' 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1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44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24,681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385,114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(332,654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52,478</w:t>
            </w:r>
          </w:p>
        </w:tc>
        <w:tc>
          <w:tcPr>
            <w:tcW w:w="4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4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1,680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1,680</w:t>
            </w:r>
          </w:p>
        </w:tc>
        <w:tc>
          <w:tcPr>
            <w:tcW w:w="4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4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upon exercise of warrants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4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w:t>
            </w:r>
          </w:p>
        </w:tc>
        <w:tc>
          <w:tcPr>
            <w:tcW w:w="4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4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in conjunction with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4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Private placement, net of transaction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21,592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94,546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94,548</w:t>
            </w:r>
          </w:p>
        </w:tc>
        <w:tc>
          <w:tcPr>
            <w:tcW w:w="4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4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Unrealized loss on investments, net of tax</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w:t>
            </w:r>
          </w:p>
        </w:tc>
        <w:tc>
          <w:tcPr>
            <w:tcW w:w="4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4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73,016</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44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46,784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481,361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(259,638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221,728</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244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3,087</w:t>
            </w:r>
          </w:p>
        </w:tc>
        <w:tc>
          <w:tcPr>
            <w:tcW w:w="4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4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Issuance of shares under the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c>
          <w:tcPr>
            <w:tcW w:w="4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4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w:t>
            </w:r>
          </w:p>
        </w:tc>
        <w:tc>
          <w:tcPr>
            <w:tcW w:w="4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4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in conjunction with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4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Private placement, net of transaction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w:t>
            </w:r>
          </w:p>
        </w:tc>
        <w:tc>
          <w:tcPr>
            <w:tcW w:w="412"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43"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Unrealized gain on investments, net of tax</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w:t>
            </w:r>
          </w:p>
        </w:tc>
        <w:tc>
          <w:tcPr>
            <w:tcW w:w="412"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44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(52,615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44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47,128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484,306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(312,253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172,066</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WHITEHAWK THERAPEUTICS, INC.</w:t>
      </w:r>
    </w:p>
    <w:p>
      <w:pPr>
        <w:pStyle w:val="TextBody"/>
        <w:bidi w:val="0"/>
        <w:spacing w:lineRule="auto" w:line="331" w:before="200" w:after="283"/>
        <w:jc w:val="center"/>
        <w:rPr>
          <w:rFonts w:ascii="Times New Roman" w:hAnsi="Times New Roman"/>
          <w:b/>
          <w:color w:val="000000"/>
          <w:sz w:val="20"/>
        </w:rPr>
      </w:pPr>
      <w:bookmarkStart w:id="8" w:name="statements_of_cash_flows"/>
      <w:bookmarkEnd w:id="8"/>
      <w:r>
        <w:rPr>
          <w:rFonts w:ascii="Times New Roman" w:hAnsi="Times New Roman"/>
          <w:b/>
          <w:color w:val="000000"/>
          <w:sz w:val="20"/>
        </w:rPr>
        <w:t>Condensed Consolidated Statements of Cash Flows</w:t>
      </w:r>
    </w:p>
    <w:p>
      <w:pPr>
        <w:pStyle w:val="TextBody"/>
        <w:bidi w:val="0"/>
        <w:spacing w:lineRule="auto" w:line="331"/>
        <w:jc w:val="center"/>
        <w:rPr>
          <w:rFonts w:ascii="Times New Roman" w:hAnsi="Times New Roman"/>
          <w:i/>
          <w:color w:val="000000"/>
          <w:sz w:val="20"/>
        </w:rPr>
      </w:pPr>
      <w:r>
        <w:rPr>
          <w:rFonts w:ascii="Times New Roman" w:hAnsi="Times New Roman"/>
          <w:i/>
          <w:color w:val="000000"/>
          <w:sz w:val="20"/>
        </w:rPr>
        <w:t>(In thousands)</w:t>
      </w:r>
    </w:p>
    <w:p>
      <w:pPr>
        <w:pStyle w:val="TextBody"/>
        <w:bidi w:val="0"/>
        <w:spacing w:lineRule="auto" w:line="331"/>
        <w:jc w:val="center"/>
        <w:rPr>
          <w:rFonts w:ascii="Times New Roman" w:hAnsi="Times New Roman"/>
          <w:i/>
          <w:color w:val="000000"/>
          <w:sz w:val="20"/>
        </w:rPr>
      </w:pPr>
      <w:r>
        <w:rPr>
          <w:rFonts w:ascii="Times New Roman" w:hAnsi="Times New Roman"/>
          <w:i/>
          <w:color w:val="000000"/>
          <w:sz w:val="20"/>
        </w:rPr>
        <w:t>(Unaudited)</w:t>
      </w:r>
    </w:p>
    <w:p>
      <w:pPr>
        <w:pStyle w:val="TextBody"/>
        <w:bidi w:val="0"/>
        <w:spacing w:lineRule="auto" w:line="331"/>
        <w:jc w:val="left"/>
        <w:rPr/>
      </w:pPr>
      <w:r>
        <w:rPr/>
        <w:t> </w:t>
      </w:r>
    </w:p>
    <w:tbl>
      <w:tblPr>
        <w:tblW w:w="10004" w:type="dxa"/>
        <w:jc w:val="left"/>
        <w:tblInd w:w="0" w:type="dxa"/>
        <w:tblLayout w:type="fixed"/>
        <w:tblCellMar>
          <w:top w:w="28" w:type="dxa"/>
          <w:left w:w="28" w:type="dxa"/>
          <w:bottom w:w="28" w:type="dxa"/>
          <w:right w:w="28" w:type="dxa"/>
        </w:tblCellMar>
      </w:tblPr>
      <w:tblGrid>
        <w:gridCol w:w="6996"/>
        <w:gridCol w:w="146"/>
        <w:gridCol w:w="211"/>
        <w:gridCol w:w="736"/>
        <w:gridCol w:w="166"/>
        <w:gridCol w:w="146"/>
        <w:gridCol w:w="211"/>
        <w:gridCol w:w="781"/>
        <w:gridCol w:w="611"/>
      </w:tblGrid>
      <w:tr>
        <w:trPr/>
        <w:tc>
          <w:tcPr>
            <w:tcW w:w="6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(38,834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20,401</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3,713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4,767</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Gain on sale of business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(87,443</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Discount amortization on short-term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170</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2,225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906</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(766</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(3,462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(1,733</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(36,737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(64,821</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Proceeds from sale of business, net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101,356</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(552</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Purchase of short-term investments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(69,821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(32,215</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Maturity of short-term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72,384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18,083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2,563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86,672</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Proceeds from sale of common stock and prefunded warrants in PIPE financing</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87,500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100,002</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righ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Payment of PIPE financing related transaction costs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(5,654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(5,625</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Deferred offering costs paid for financing</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94,351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Net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47,666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116,202</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28,734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85,234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144,936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Costs incurred in connection with Private Placement included in accounts payable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left"/>
        <w:rPr/>
      </w:pPr>
      <w:r>
        <w:rPr/>
        <w:t> </w:t>
      </w:r>
    </w:p>
    <w:p>
      <w:pPr>
        <w:pStyle w:val="TextBody"/>
        <w:bidi w:val="0"/>
        <w:spacing w:lineRule="auto" w:line="331"/>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lineRule="auto" w:line="331"/>
        <w:jc w:val="center"/>
        <w:rPr/>
      </w:pPr>
      <w:r>
        <w:rPr/>
        <w: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WHITEHAWK THERAPEUTICS, INC.</w:t>
      </w:r>
    </w:p>
    <w:p>
      <w:pPr>
        <w:pStyle w:val="TextBody"/>
        <w:bidi w:val="0"/>
        <w:spacing w:lineRule="auto" w:line="273"/>
        <w:jc w:val="center"/>
        <w:rPr>
          <w:rFonts w:ascii="Times New Roman" w:hAnsi="Times New Roman"/>
          <w:sz w:val="20"/>
        </w:rPr>
      </w:pPr>
      <w:bookmarkStart w:id="9" w:name="notes_to_consolidated_financial_stmt"/>
      <w:bookmarkEnd w:id="9"/>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lineRule="auto" w:line="331" w:before="200" w:after="283"/>
        <w:jc w:val="both"/>
        <w:rPr>
          <w:rFonts w:ascii="Times New Roman" w:hAnsi="Times New Roman"/>
          <w:b/>
          <w:color w:val="000000"/>
          <w:sz w:val="20"/>
        </w:rPr>
      </w:pPr>
      <w:r>
        <w:rPr>
          <w:rFonts w:ascii="Times New Roman" w:hAnsi="Times New Roman"/>
          <w:b/>
          <w:color w:val="000000"/>
          <w:sz w:val="20"/>
        </w:rPr>
        <w:t>1. Nature of Organization and Operations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Whitehawk Therapeutics, Inc. (together with its subsidiary, the "Company") is a clinical-stage oncology therapeutics company applying advanced technologies to established tumor biology that are intended to efficiently develop improved cancer treatments. The Company has deep experience in chemistry, formulation, and drug delivery, as well as research, clinical, and commercial pharmaceutical development, and taking product candidates from the clinic to approval, launch, and commercialization.</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Current ADC Business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On December 19, 2024, the Company entered into an intellectual property license agreement (the “License Agreement”) with WuXi Biologics (Shanghai FX) Co., Ltd. (“WuXi Biologics”) for the development and global commercialization of a portfolio of three next generation antibody drug conjugates (“ADCs”) targeting clinically validated, broadly overexpressed tumor antigens in high potential cancer indications with significant unmet need. Refer to Note 7 for further information on the WuXi Biologics License Agreement and its terms.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Legacy FYARRO Business</w:t>
      </w:r>
    </w:p>
    <w:p>
      <w:pPr>
        <w:pStyle w:val="TextBody"/>
        <w:bidi w:val="0"/>
        <w:spacing w:lineRule="auto" w:line="331" w:before="200" w:after="283"/>
        <w:jc w:val="both"/>
        <w:rPr>
          <w:rFonts w:ascii="Times New Roman" w:hAnsi="Times New Roman"/>
          <w:sz w:val="20"/>
        </w:rPr>
      </w:pPr>
      <w:r>
        <w:rPr>
          <w:rFonts w:ascii="Times New Roman" w:hAnsi="Times New Roman"/>
          <w:color w:val="000000"/>
          <w:sz w:val="20"/>
        </w:rPr>
        <w:t>For the periods presented and through the FYARRO Divestiture (as defined below), the Company's lead drug product was FYARRO</w:t>
      </w:r>
      <w:r>
        <w:rPr>
          <w:rFonts w:ascii="Times New Roman" w:hAnsi="Times New Roman"/>
          <w:color w:val="000000"/>
          <w:sz w:val="13"/>
        </w:rPr>
        <w:t>®</w:t>
      </w:r>
      <w:r>
        <w:rPr>
          <w:rFonts w:ascii="Times New Roman" w:hAnsi="Times New Roman"/>
          <w:color w:val="000000"/>
          <w:sz w:val="20"/>
        </w:rPr>
        <w:t xml:space="preserve"> (sirolimus protein-bound particles for injectable suspension (albumin-bound); nab-sirolimus). The Company exclusively licensed FYARRO, previously called ABI-009, nab-sirolimus, from Abraxis BioScience, LLC, a wholly owned subsidiary of Celgene Corporation, which is a wholly owned subsidiary of Bristol-Myers Squibb Company (“BMS”). The Company refers to the development, production and commercial sale of FYARRO herein as the “FYARRO Business”. On February 22, 2022, the Company launched FYARRO in the United States for treatment of advanced malignant perivascular epithelioid cell tumor ("PEComa").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On December 19, 2024, the Company entered into a Stock Purchase Agreement (the “Divestiture Agreement”) with KAKEN INVESTMENTS INC., a Delaware corporation (“KAKEN”), KAKEN PHARMACEUTICAL CO., LTD, and Aadi Subsidiary, Inc., a Delaware corporation and the Company's former wholly owned subsidiary and the operating company for the FYARRO Business (“Aadi Subsidiary”). Under the Divestiture Agreement, KAKEN acquired 100% of the outstanding shares of capital stock of Aadi Subsidiary from the Company for a cash payment of $102.4 million (before applicable purchase price adjustments under the Divestiture Agreement) (the "FYARRO Divestiture"). The FYARRO Divestiture closed on March 25, 2025 and, as a result, the Company no longer operates the FYARRO Business.</w:t>
      </w:r>
    </w:p>
    <w:p>
      <w:pPr>
        <w:pStyle w:val="TextBody"/>
        <w:bidi w:val="0"/>
        <w:spacing w:lineRule="auto" w:line="331" w:before="200" w:after="283"/>
        <w:jc w:val="both"/>
        <w:rPr>
          <w:rFonts w:ascii="Times New Roman" w:hAnsi="Times New Roman"/>
          <w:sz w:val="20"/>
        </w:rPr>
      </w:pPr>
      <w:r>
        <w:rPr>
          <w:rFonts w:ascii="Times New Roman" w:hAnsi="Times New Roman"/>
          <w:b/>
          <w:i/>
          <w:color w:val="000000"/>
          <w:sz w:val="20"/>
        </w:rPr>
        <w:t>Company Name Change</w:t>
      </w:r>
      <w:r>
        <w:rPr>
          <w:rFonts w:ascii="Times New Roman" w:hAnsi="Times New Roman"/>
          <w:color w:val="000000"/>
          <w:sz w:val="20"/>
        </w:rPr>
        <w:t xml:space="preserve"> </w:t>
      </w:r>
    </w:p>
    <w:p>
      <w:pPr>
        <w:pStyle w:val="TextBody"/>
        <w:bidi w:val="0"/>
        <w:spacing w:lineRule="auto" w:line="331" w:before="120" w:after="283"/>
        <w:jc w:val="both"/>
        <w:rPr>
          <w:rFonts w:ascii="Times New Roman" w:hAnsi="Times New Roman"/>
          <w:color w:val="000000"/>
          <w:sz w:val="20"/>
        </w:rPr>
      </w:pPr>
      <w:r>
        <w:rPr>
          <w:rFonts w:ascii="Times New Roman" w:hAnsi="Times New Roman"/>
          <w:color w:val="000000"/>
          <w:sz w:val="20"/>
        </w:rPr>
        <w:t xml:space="preserve">In connection with the FYARRO Divestiture, the Company changed the Company's name from "Aadi Bioscience, Inc." to "Whitehawk Therapeutics, Inc." and the Company's common stock thereafter has been traded under the symbol "WHWK". </w:t>
      </w:r>
    </w:p>
    <w:p>
      <w:pPr>
        <w:pStyle w:val="TextBody"/>
        <w:bidi w:val="0"/>
        <w:spacing w:lineRule="auto" w:line="331" w:before="200" w:after="283"/>
        <w:jc w:val="both"/>
        <w:rPr>
          <w:rFonts w:ascii="Times New Roman" w:hAnsi="Times New Roman"/>
          <w:b/>
          <w:i/>
          <w:color w:val="231F20"/>
          <w:sz w:val="20"/>
        </w:rPr>
      </w:pPr>
      <w:r>
        <w:rPr>
          <w:rFonts w:ascii="Times New Roman" w:hAnsi="Times New Roman"/>
          <w:b/>
          <w:i/>
          <w:color w:val="231F20"/>
          <w:sz w:val="20"/>
        </w:rPr>
        <w:t>Merger with Aerpio Pharmaceuticals, Inc.</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On August 26, 2021 (the “Closing Date”), Aadi Bioscience, Inc., a Delaware corporation (f/k/a Aerpio Pharmaceuticals, Inc.), completed its business combination with Aadi Subsidiary, Inc. (f/k/a Aadi Bioscience, Inc., or “Private Aadi”), in accordance with the terms of the Agreement and Plan of Merger and Reorganization, dated May 16, 2021, by and among the Company, Aspen Merger Subsidiary, Inc. (“Merger Sub”) and Private Aadi (the “Merger Agreement”), pursuant to which Merger Sub merged with and into Private Aadi, with Private Aadi surviving as a wholly owned subsidiary of the Company (the “Reverse Merger”) until the FYARRO Divestiture.</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b/>
          <w:i/>
          <w:color w:val="231F20"/>
          <w:sz w:val="20"/>
        </w:rPr>
      </w:pPr>
      <w:r>
        <w:rPr>
          <w:rFonts w:ascii="Times New Roman" w:hAnsi="Times New Roman"/>
          <w:b/>
          <w:i/>
          <w:color w:val="231F20"/>
          <w:sz w:val="20"/>
        </w:rPr>
        <w:t>Liquidity</w:t>
      </w:r>
    </w:p>
    <w:p>
      <w:pPr>
        <w:pStyle w:val="TextBody"/>
        <w:bidi w:val="0"/>
        <w:spacing w:lineRule="auto" w:line="331" w:before="200" w:after="283"/>
        <w:jc w:val="both"/>
        <w:rPr>
          <w:rFonts w:ascii="Times New Roman" w:hAnsi="Times New Roman"/>
          <w:color w:val="231F20"/>
          <w:sz w:val="20"/>
        </w:rPr>
      </w:pPr>
      <w:r>
        <w:rPr>
          <w:rFonts w:ascii="Times New Roman" w:hAnsi="Times New Roman"/>
          <w:color w:val="231F20"/>
          <w:sz w:val="20"/>
        </w:rPr>
        <w:t>Since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Prior to the FYARRO Divestiture, the Company also realized revenues from the commercial sale of FYARRO.</w:t>
      </w:r>
    </w:p>
    <w:p>
      <w:pPr>
        <w:pStyle w:val="TextBody"/>
        <w:bidi w:val="0"/>
        <w:spacing w:lineRule="auto" w:line="331" w:before="200" w:after="283"/>
        <w:jc w:val="both"/>
        <w:rPr>
          <w:rFonts w:ascii="Times New Roman" w:hAnsi="Times New Roman"/>
          <w:color w:val="231F20"/>
          <w:sz w:val="20"/>
        </w:rPr>
      </w:pPr>
      <w:r>
        <w:rPr>
          <w:rFonts w:ascii="Times New Roman" w:hAnsi="Times New Roman"/>
          <w:color w:val="231F20"/>
          <w:sz w:val="20"/>
        </w:rPr>
        <w:t>The Company has experienced net losses since its inception and expects to continue to incur net losses into the foreseeable future. The Company had an accumulated deficit of $392.1 million as of June 30, 2026, and net loss of $38.8 million and net income of $20.4 million for the six months ended June 30, 2026 and 2025, respectively. The net income recorded for the six months ended June 30, 2025 is primarily attributable to the gain on sale related to the FYARRO Divestiture. Prior to the FYARRO Divestiture, the Company's operating losses were funded primarily from outside sources of invested capital through the issuance of convertible promissory notes, grant funding, the sale of securities, and proceeds from license agreements.</w:t>
      </w:r>
    </w:p>
    <w:p>
      <w:pPr>
        <w:pStyle w:val="TextBody"/>
        <w:bidi w:val="0"/>
        <w:spacing w:lineRule="auto" w:line="331" w:before="200" w:after="283"/>
        <w:jc w:val="both"/>
        <w:rPr>
          <w:rFonts w:ascii="Times New Roman" w:hAnsi="Times New Roman"/>
          <w:sz w:val="20"/>
        </w:rPr>
      </w:pPr>
      <w:r>
        <w:rPr>
          <w:rFonts w:ascii="Times New Roman" w:hAnsi="Times New Roman"/>
          <w:color w:val="000000"/>
          <w:sz w:val="20"/>
        </w:rPr>
        <w:t>The Company</w:t>
      </w:r>
      <w:r>
        <w:rPr>
          <w:rFonts w:ascii="Times New Roman" w:hAnsi="Times New Roman"/>
          <w:color w:val="231F20"/>
          <w:sz w:val="20"/>
        </w:rPr>
        <w:t xml:space="preserve"> had cash, cash equivalents and short-term investments of $190.0 million</w:t>
      </w:r>
      <w:r>
        <w:rPr>
          <w:rFonts w:ascii="Times New Roman" w:hAnsi="Times New Roman"/>
          <w:color w:val="000000"/>
          <w:sz w:val="20"/>
        </w:rPr>
        <w:t xml:space="preserve"> at June 30, 2026. Management believes the Company’s cash, cash equivalents and short-term investments will provide sufficient funds to enable the Company to meet its obligations for at least twelve months from the issuance of these financial statements. If the Company is unable to achieve and maintain profitability, it will need additional financing to support its continuing operations and pursue its strategic objectives. Additional financing may be achieved through a combination of equity offerings and debt financing. The Company may be unable to raise additional funds or enter into such other agreements when needed on favorable terms or at all.</w:t>
      </w:r>
    </w:p>
    <w:p>
      <w:pPr>
        <w:pStyle w:val="TextBody"/>
        <w:bidi w:val="0"/>
        <w:spacing w:lineRule="auto" w:line="331" w:before="200" w:after="283"/>
        <w:jc w:val="both"/>
        <w:rPr>
          <w:rFonts w:ascii="Times New Roman" w:hAnsi="Times New Roman"/>
          <w:sz w:val="20"/>
        </w:rPr>
      </w:pPr>
      <w:r>
        <w:rPr>
          <w:rFonts w:ascii="Times New Roman" w:hAnsi="Times New Roman"/>
          <w:color w:val="000000"/>
          <w:sz w:val="20"/>
        </w:rPr>
        <w:t xml:space="preserve">On March 17, 2022, the Company entered into a Sales Agreement (the “Sales Agreement”) with Cowen and Company, LLC (“Cowen”), pursuant to which the Company may offer and sell, from time to time at the Company’s sole discretion, shares of its common stock having an aggregate offering price of up to $75.0 million through Cowen as its sales agent for an at-the-marketing-offering. Any sales under the Sales Agreement may result in dilution to existing shareholders. As of </w:t>
      </w:r>
      <w:r>
        <w:rPr>
          <w:rFonts w:ascii="Times New Roman" w:hAnsi="Times New Roman"/>
          <w:color w:val="231F20"/>
          <w:sz w:val="20"/>
        </w:rPr>
        <w:t>June 30, 2026</w:t>
      </w:r>
      <w:r>
        <w:rPr>
          <w:rFonts w:ascii="Times New Roman" w:hAnsi="Times New Roman"/>
          <w:color w:val="000000"/>
          <w:sz w:val="20"/>
        </w:rPr>
        <w:t xml:space="preserve">, no shares of common stock had been sold under this Sales Agreement. </w:t>
      </w:r>
    </w:p>
    <w:p>
      <w:pPr>
        <w:pStyle w:val="TextBody"/>
        <w:bidi w:val="0"/>
        <w:spacing w:lineRule="auto" w:line="331" w:before="200" w:after="283"/>
        <w:jc w:val="both"/>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unaudited condensed consolidated financial statements, and the related disclosures, have been prepared in accordance with accounting principles generally accepted in the United States ("GAAP") and U.S. Securities and Exchange Commission ("SEC") regulations and, in the opinion of management include all adjustments necessary for a fair presentation of the results of operations, financial position, changes in stockholders’ equity and cash flows for each period presented. Any reference in these notes to applicable guidance is meant to refer to the authoritative GAAP as found in the Accounting Standards Codification (“ASC”) and Accounting Standards Updates (“ASU”) of the Financial Accounting Standards Board (“FASB”). The Company’s condensed consolidated financial statements are stated in U.S. dollars.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financial statements noted above reflect the financial position and results of operations of the Company. The comparative period includes the results of operations of the Company and Aadi Subsidiary, prior to its sale on March 25, 2025. The transaction did not meet the criteria for discontinued operations under ASC 205-20, and therefore no reclassification has been made to prior period statements.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condensed consolidated balance sheet as of June 30, 2026 and December 31, 2025 excludes the assets and liabilities of Aadi Subsidiary, which were divested as of the sale date. See Note 14 for additional information.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Certain information and note disclosures normally included in annual financial statements prepared in accordance with GAAP have been condensed or omitted. Accordingly, the accompanying unaudited condensed consolidated interim financial statements should be read in conjunction with the audited financial statements and the related notes thereto for the year ended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December 31, 2025, which are included in the Company’s Annual Report on Form 10-K filed with the SEC on March 12, 2026.</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Following the FYARRO Divestiture, the Company is a clinical-stage biopharmaceutical company with a limited operating history and two clinical and one preclinical stage product candidates in development. The Company's ability to generate revenue and achieve profitability depends significantly on the ability to achieve several objectives relating to the discovery, development and commercialization of the Company's portfolio of three next generation antibody drug conjugates (the "ADC Therapies") and any other product candidates that may be developed in the future.</w:t>
      </w:r>
    </w:p>
    <w:p>
      <w:pPr>
        <w:pStyle w:val="TextBody"/>
        <w:bidi w:val="0"/>
        <w:spacing w:lineRule="auto" w:line="331" w:before="200" w:after="283"/>
        <w:jc w:val="both"/>
        <w:rPr>
          <w:rFonts w:ascii="Times New Roman" w:hAnsi="Times New Roman"/>
          <w:sz w:val="20"/>
        </w:rPr>
      </w:pPr>
      <w:r>
        <w:rPr>
          <w:rFonts w:ascii="Times New Roman" w:hAnsi="Times New Roman"/>
          <w:b/>
          <w:i/>
          <w:color w:val="000000"/>
          <w:sz w:val="20"/>
        </w:rPr>
        <w:t>Comprehensive (Loss) Income</w:t>
      </w:r>
      <w:r>
        <w:rPr>
          <w:rFonts w:ascii="Times New Roman" w:hAnsi="Times New Roman"/>
          <w:color w:val="000000"/>
          <w:sz w:val="20"/>
        </w:rPr>
        <w:t xml:space="preserv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Comprehensive (loss) income is defined as the change in equity during a period from transactions and other events and circumstances from non-owner sources, including unrealized gains and losses on short-term investments. Comprehensive (loss) income has been reflected in the condensed consolidated statements of operations and comprehensive (loss) income for all periods presented.</w:t>
      </w:r>
    </w:p>
    <w:p>
      <w:pPr>
        <w:pStyle w:val="TextBody"/>
        <w:bidi w:val="0"/>
        <w:spacing w:lineRule="auto" w:line="331" w:before="200" w:after="283"/>
        <w:jc w:val="both"/>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The preparation of financial statements in conformity with GAAP requires management to make estimates and assumptions that impact the reported amounts of assets, liabilities, revenues and expenses, and the disclosure of contingent assets and liabilities in the Company’s condensed consolidated financial statements and accompanying notes. In the opinion of management, all adjustments that are considered necessary for fair presentation have been included. The most significant estimates in the Company’s condensed consolidated financial statements relate to share-based compensation expense and accrued research and development costs. Although these estimates are based on the Company’s knowledge of current events and actions it may undertake in the future, actual results may materially differ from these estimates and assumptions. </w:t>
      </w:r>
    </w:p>
    <w:p>
      <w:pPr>
        <w:pStyle w:val="TextBody"/>
        <w:bidi w:val="0"/>
        <w:spacing w:lineRule="auto" w:line="331" w:before="200" w:after="283"/>
        <w:jc w:val="both"/>
        <w:rPr>
          <w:rFonts w:ascii="Times New Roman" w:hAnsi="Times New Roman"/>
          <w:sz w:val="20"/>
        </w:rPr>
      </w:pPr>
      <w:r>
        <w:rPr>
          <w:rFonts w:ascii="Times New Roman" w:hAnsi="Times New Roman"/>
          <w:b/>
          <w:i/>
          <w:color w:val="000000"/>
          <w:sz w:val="20"/>
        </w:rPr>
        <w:t>Restructuring Charges</w:t>
      </w:r>
      <w:r>
        <w:rPr>
          <w:rFonts w:ascii="Times New Roman" w:hAnsi="Times New Roman"/>
          <w:color w:val="000000"/>
          <w:sz w:val="20"/>
        </w:rPr>
        <w:t xml:space="preserv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Restructuring charges consist primarily of employee severance, contract termination costs and other costs. Liabilities for costs associated with a restructuring activity are recognized when the liability is incurred and are measured at fair value. For one-time employee terminations benefits, the Company recognizes the liability in full on the communication date when future services are not required or amortizes the liability ratably over the service period, if required. The fair value of termination benefits reflects the Company’s estimate of expected utilization of certain Company-funded post-employment benefits. One-time termination benefits include severance and continuation of health insurance coverage for certain employees.</w:t>
      </w:r>
    </w:p>
    <w:p>
      <w:pPr>
        <w:pStyle w:val="TextBody"/>
        <w:bidi w:val="0"/>
        <w:spacing w:lineRule="auto" w:line="331" w:before="200" w:after="283"/>
        <w:jc w:val="both"/>
        <w:rPr>
          <w:rFonts w:ascii="Times New Roman" w:hAnsi="Times New Roman"/>
          <w:b/>
          <w:i/>
          <w:color w:val="231F20"/>
          <w:sz w:val="20"/>
        </w:rPr>
      </w:pPr>
      <w:r>
        <w:rPr>
          <w:rFonts w:ascii="Times New Roman" w:hAnsi="Times New Roman"/>
          <w:b/>
          <w:i/>
          <w:color w:val="231F20"/>
          <w:sz w:val="20"/>
        </w:rPr>
        <w:t>Concentration of Credit Risk</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Financial instruments, which potentially subject the Company to concentration of credit risk, consist primarily of cash and cash equivalents, and available-for-sale marketable debt securities. The Company maintains deposits in federally insured financial institutions in excess of federally insured limits. Management believes that the Company is not exposed to significant credit risk due to the financial position of the depository institutions in which those deposits are held. The Company has not experienced any losses on deposits since inception.</w:t>
      </w:r>
    </w:p>
    <w:p>
      <w:pPr>
        <w:pStyle w:val="TextBody"/>
        <w:bidi w:val="0"/>
        <w:spacing w:lineRule="auto" w:line="331" w:before="200" w:after="283"/>
        <w:jc w:val="both"/>
        <w:rPr>
          <w:rFonts w:ascii="Times New Roman" w:hAnsi="Times New Roman"/>
          <w:b/>
          <w:i/>
          <w:color w:val="231F20"/>
          <w:sz w:val="20"/>
        </w:rPr>
      </w:pPr>
      <w:r>
        <w:rPr>
          <w:rFonts w:ascii="Times New Roman" w:hAnsi="Times New Roman"/>
          <w:b/>
          <w:i/>
          <w:color w:val="231F20"/>
          <w:sz w:val="20"/>
        </w:rPr>
        <w:t>Customer Concentration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Company did not have customer revenue for the three and six months ended June 30, 2026. The Company did not have customer revenue for the three months ended June 30, 2025. For the six months ended June 30, 2025, two customers represented 37% and 60% of the Company’s revenue.</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The Company did not have accounts receivable as of June 30, 2026 and December 31, 2025. </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Company considers all highly liquid marketable securities purchased with original maturities of three months or less at the time of purchase date to be cash equivalents.</w:t>
      </w:r>
    </w:p>
    <w:p>
      <w:pPr>
        <w:pStyle w:val="TextBody"/>
        <w:bidi w:val="0"/>
        <w:spacing w:lineRule="auto" w:line="331" w:before="200" w:after="283"/>
        <w:jc w:val="both"/>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Level 1: Observable inputs, such as quoted prices in active markets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Level 2: Inputs, other than the quoted prices in active markets that are observable either directly or indirectly</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Level 3: Unobservable inputs in which there is little or no market data, which require the reporting entity to develop its own assumptions which reflect those that a market participant would use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determining the fair value of its financial instruments, the Company considers the source of observable market data inputs, liquidity of the instrument, the credit risk of the counterparty to the contract, and its risk of nonperformance. In the case fair value is not observable, for the items subject to fair value measurements, the Company applies valuation techniques deemed the most appropriate under the GAAP guidance based on the nature of the assets and liabilities being measured.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carrying amounts of cash equivalents, accounts payable, and accrued liabilities are reasonable estimates of their fair value because of the short maturity of these items.</w:t>
      </w:r>
    </w:p>
    <w:p>
      <w:pPr>
        <w:pStyle w:val="TextBody"/>
        <w:bidi w:val="0"/>
        <w:spacing w:lineRule="auto" w:line="331" w:before="200" w:after="283"/>
        <w:jc w:val="both"/>
        <w:rPr>
          <w:rFonts w:ascii="Times New Roman" w:hAnsi="Times New Roman"/>
          <w:b/>
          <w:i/>
          <w:color w:val="231F20"/>
          <w:sz w:val="20"/>
        </w:rPr>
      </w:pPr>
      <w:r>
        <w:rPr>
          <w:rFonts w:ascii="Times New Roman" w:hAnsi="Times New Roman"/>
          <w:b/>
          <w:i/>
          <w:color w:val="231F20"/>
          <w:sz w:val="20"/>
        </w:rPr>
        <w:t>Short-Term Investments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Company invests in various types of securities, including United States government treasury bills, commercial paper, and corporate debt securities. The Company classifies its investments as available-for-sale and records them at fair value based upon market prices at period end. Unrealized gains and losses that are deemed temporary in nature are recorded in accumulated other comprehensive income as a separate component of stockholders' equity. Dividend and interest income are recognized when earned. The Company recognizes purchase premiums and discounts as interest income using the interest method over the terms of the securities. Realized gains and losses are included in earnings and are derived using the specific identification method for determining the cost of investments sold. The Company classifies short-term investments with remaining maturities greater than one year as current assets because such short-term investments are available to fund the Company’s current operations.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At each balance sheet date, the Company assesses available-for-sale securities in an unrealized loss position to determine whether the decline in fair value below amortized cost is a result of credit losses or other factors, whether the Company expects to recover the amortized cost of the security, the Company's intent to sell and if it is more likely than not that the Company will be required to sell the securities before the recovery of amortized cost. The Company records changes in allowance for expected credit loss in other income (expense), net. There has been no allowance for expected credit losses recorded during any of the periods presented. See Note 4 for further information.</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jc w:val="both"/>
        <w:rPr/>
      </w:pPr>
      <w:r>
        <w:rPr/>
        <w:t> </w:t>
      </w:r>
    </w:p>
    <w:p>
      <w:pPr>
        <w:pStyle w:val="TextBody"/>
        <w:bidi w:val="0"/>
        <w:spacing w:lineRule="auto" w:line="331"/>
        <w:jc w:val="both"/>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Property and equipment, consisting of computers and software and furniture and fixtures are stated at cost, less accumulated depreciation. Property and equipment is depreciated using the straight-line method over the estimated useful lives of the assets, generally three to five years. Such costs are periodically reviewed for recoverability when impairment indicators are present.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Details of property and equipment are presented as follows (in thousands): </w:t>
      </w:r>
    </w:p>
    <w:p>
      <w:pPr>
        <w:pStyle w:val="TextBody"/>
        <w:bidi w:val="0"/>
        <w:spacing w:lineRule="auto" w:line="331"/>
        <w:jc w:val="both"/>
        <w:rPr/>
      </w:pPr>
      <w:r>
        <w:rPr/>
        <w:t> </w:t>
      </w:r>
    </w:p>
    <w:tbl>
      <w:tblPr>
        <w:tblW w:w="5710" w:type="dxa"/>
        <w:jc w:val="left"/>
        <w:tblInd w:w="0" w:type="dxa"/>
        <w:tblLayout w:type="fixed"/>
        <w:tblCellMar>
          <w:top w:w="28" w:type="dxa"/>
          <w:left w:w="28" w:type="dxa"/>
          <w:bottom w:w="28" w:type="dxa"/>
          <w:right w:w="28" w:type="dxa"/>
        </w:tblCellMar>
      </w:tblPr>
      <w:tblGrid>
        <w:gridCol w:w="2416"/>
        <w:gridCol w:w="146"/>
        <w:gridCol w:w="343"/>
        <w:gridCol w:w="782"/>
        <w:gridCol w:w="166"/>
        <w:gridCol w:w="146"/>
        <w:gridCol w:w="456"/>
        <w:gridCol w:w="1044"/>
        <w:gridCol w:w="21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Computers and Software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341</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377</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24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5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both"/>
        <w:rPr/>
      </w:pPr>
      <w:r>
        <w:rPr/>
        <w:t> </w:t>
      </w:r>
    </w:p>
    <w:p>
      <w:pPr>
        <w:pStyle w:val="TextBody"/>
        <w:bidi w:val="0"/>
        <w:spacing w:lineRule="auto" w:line="331"/>
        <w:jc w:val="both"/>
        <w:rPr>
          <w:rFonts w:ascii="Times New Roman" w:hAnsi="Times New Roman"/>
          <w:color w:val="000000"/>
          <w:sz w:val="20"/>
        </w:rPr>
      </w:pPr>
      <w:r>
        <w:rPr>
          <w:rFonts w:ascii="Times New Roman" w:hAnsi="Times New Roman"/>
          <w:color w:val="000000"/>
          <w:sz w:val="20"/>
        </w:rPr>
        <w:t>Depreciation expense on property and equipment amounted to $1.0 thousand and $15.3 thousand for the three months ended June 30, 2026 and 2025, respectively. Depreciation expense on property and equipment amounted to $2.0 thousand and $0.1 million for the six months ended June 30, 2026 and 2025, respectively.</w:t>
      </w:r>
    </w:p>
    <w:p>
      <w:pPr>
        <w:pStyle w:val="TextBody"/>
        <w:bidi w:val="0"/>
        <w:spacing w:lineRule="auto" w:line="331" w:before="200" w:after="283"/>
        <w:jc w:val="both"/>
        <w:rPr>
          <w:rFonts w:ascii="Times New Roman" w:hAnsi="Times New Roman"/>
          <w:b/>
          <w:i/>
          <w:color w:val="231F20"/>
          <w:sz w:val="20"/>
        </w:rPr>
      </w:pPr>
      <w:r>
        <w:rPr>
          <w:rFonts w:ascii="Times New Roman" w:hAnsi="Times New Roman"/>
          <w:b/>
          <w:i/>
          <w:color w:val="231F20"/>
          <w:sz w:val="20"/>
        </w:rPr>
        <w:t>Leases</w:t>
      </w:r>
    </w:p>
    <w:p>
      <w:pPr>
        <w:pStyle w:val="TextBody"/>
        <w:bidi w:val="0"/>
        <w:spacing w:lineRule="auto" w:line="331" w:before="200" w:after="283"/>
        <w:jc w:val="both"/>
        <w:rPr>
          <w:rFonts w:ascii="Times New Roman" w:hAnsi="Times New Roman"/>
          <w:color w:val="231F20"/>
          <w:sz w:val="20"/>
        </w:rPr>
      </w:pPr>
      <w:r>
        <w:rPr>
          <w:rFonts w:ascii="Times New Roman" w:hAnsi="Times New Roman"/>
          <w:color w:val="231F20"/>
          <w:sz w:val="20"/>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does not recognize assets or liabilities for leases with lease terms of less than 12 months.</w:t>
      </w:r>
    </w:p>
    <w:p>
      <w:pPr>
        <w:pStyle w:val="TextBody"/>
        <w:bidi w:val="0"/>
        <w:spacing w:lineRule="auto" w:line="331" w:before="200" w:after="283"/>
        <w:jc w:val="both"/>
        <w:rPr>
          <w:rFonts w:ascii="Times New Roman" w:hAnsi="Times New Roman"/>
          <w:color w:val="231F20"/>
          <w:sz w:val="20"/>
        </w:rPr>
      </w:pPr>
      <w:r>
        <w:rPr>
          <w:rFonts w:ascii="Times New Roman" w:hAnsi="Times New Roman"/>
          <w:color w:val="231F20"/>
          <w:sz w:val="20"/>
        </w:rPr>
        <w:t>The Company additionally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 (ii) 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at the commencement date of the lease based on the present value of lease payments over the expected lease term.</w:t>
      </w:r>
    </w:p>
    <w:p>
      <w:pPr>
        <w:pStyle w:val="TextBody"/>
        <w:bidi w:val="0"/>
        <w:spacing w:lineRule="auto" w:line="331" w:before="200" w:after="283"/>
        <w:jc w:val="both"/>
        <w:rPr>
          <w:rFonts w:ascii="Times New Roman" w:hAnsi="Times New Roman"/>
          <w:color w:val="231F20"/>
          <w:sz w:val="20"/>
        </w:rPr>
      </w:pPr>
      <w:r>
        <w:rPr>
          <w:rFonts w:ascii="Times New Roman" w:hAnsi="Times New Roman"/>
          <w:color w:val="231F20"/>
          <w:sz w:val="20"/>
        </w:rPr>
        <w:t>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For finance leases, depreciation expense is recognized for the leased asset acquired and interest expense is recognized related to the portion of the financing in the condensed consolidated statements of operations and comprehensive loss. For operating leases, lease cost is recognized on a straight-line basis over the lease term and variable lease payments are recognized as operating expense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b/>
          <w:i/>
          <w:color w:val="231F20"/>
          <w:sz w:val="20"/>
        </w:rPr>
      </w:pPr>
      <w:r>
        <w:rPr>
          <w:rFonts w:ascii="Times New Roman" w:hAnsi="Times New Roman"/>
          <w:b/>
          <w:i/>
          <w:color w:val="231F20"/>
          <w:sz w:val="20"/>
        </w:rPr>
        <w:t>Commitments and Contingencies</w:t>
      </w:r>
    </w:p>
    <w:p>
      <w:pPr>
        <w:pStyle w:val="TextBody"/>
        <w:bidi w:val="0"/>
        <w:spacing w:lineRule="auto" w:line="331" w:before="200" w:after="283"/>
        <w:jc w:val="both"/>
        <w:rPr>
          <w:rFonts w:ascii="Times New Roman" w:hAnsi="Times New Roman"/>
          <w:sz w:val="20"/>
        </w:rPr>
      </w:pPr>
      <w:r>
        <w:rPr>
          <w:rFonts w:ascii="Times New Roman" w:hAnsi="Times New Roman"/>
          <w:color w:val="000000"/>
          <w:sz w:val="20"/>
        </w:rPr>
        <w:t>The Company recognizes a liability with regard to loss contingencies when it believes it is probable that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June 30, 2026 and December 31, 2025</w:t>
      </w:r>
      <w:r>
        <w:rPr>
          <w:rFonts w:ascii="Times New Roman" w:hAnsi="Times New Roman"/>
          <w:color w:val="231F20"/>
          <w:sz w:val="20"/>
        </w:rPr>
        <w:t>.</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Revenue Recognition and Related Allowances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The Company recognizes revenue when its customer obtains control of promised goods or services, in an amount that reflects the consideration which the entity expects to receive in exchange for those goods or services. To determine revenue recognition for arrangements that the Company determines are within the scope of ASC Topic 606, Revenue from Contracts with Customers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w:t>
      </w:r>
    </w:p>
    <w:p>
      <w:pPr>
        <w:pStyle w:val="TextBody"/>
        <w:bidi w:val="0"/>
        <w:spacing w:lineRule="auto" w:line="331" w:before="200" w:after="283"/>
        <w:jc w:val="both"/>
        <w:rPr>
          <w:rFonts w:ascii="Times New Roman" w:hAnsi="Times New Roman"/>
          <w:i/>
          <w:color w:val="000000"/>
          <w:sz w:val="20"/>
        </w:rPr>
      </w:pPr>
      <w:r>
        <w:rPr>
          <w:rFonts w:ascii="Times New Roman" w:hAnsi="Times New Roman"/>
          <w:i/>
          <w:color w:val="000000"/>
          <w:sz w:val="20"/>
        </w:rPr>
        <w:t>Product Net Sales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FYARRO was approved by the FDA in November 2021. On February 22, 2022, the Company launched sales of FYARRO to specialty distributors (“SDs”) and a specialty pharmacy (“SP”). The Company recognizes product sales when the SDs and SP obtain control of the product. Product sales are recorded at the net sales price, which includes provisions for the following allowances which are reflected either as a reduction to the related account receivable or as an accrued liability, depending on how the allowance is settled:</w:t>
      </w:r>
    </w:p>
    <w:p>
      <w:pPr>
        <w:pStyle w:val="TextBody"/>
        <w:bidi w:val="0"/>
        <w:spacing w:lineRule="auto" w:line="331" w:before="200" w:after="283"/>
        <w:jc w:val="both"/>
        <w:rPr>
          <w:rFonts w:ascii="Times New Roman" w:hAnsi="Times New Roman"/>
          <w:sz w:val="20"/>
        </w:rPr>
      </w:pPr>
      <w:r>
        <w:rPr>
          <w:rFonts w:ascii="Times New Roman" w:hAnsi="Times New Roman"/>
          <w:i/>
          <w:color w:val="000000"/>
          <w:sz w:val="20"/>
        </w:rPr>
        <w:t>Distribution Fees</w:t>
      </w:r>
      <w:r>
        <w:rPr>
          <w:rFonts w:ascii="Times New Roman" w:hAnsi="Times New Roman"/>
          <w:color w:val="000000"/>
          <w:sz w:val="20"/>
        </w:rPr>
        <w:t>: Distribution fees include distribution service fees paid to the SDs and SP based on a contractually fixed percentage of the wholesale acquisition cost (“WAC”). Distribution fees are recorded as an offset to product sales based on contractual terms at the time revenue from the sale is recognized.</w:t>
      </w:r>
    </w:p>
    <w:p>
      <w:pPr>
        <w:pStyle w:val="TextBody"/>
        <w:bidi w:val="0"/>
        <w:spacing w:lineRule="auto" w:line="331" w:before="200" w:after="283"/>
        <w:jc w:val="both"/>
        <w:rPr>
          <w:rFonts w:ascii="Times New Roman" w:hAnsi="Times New Roman"/>
          <w:sz w:val="20"/>
        </w:rPr>
      </w:pPr>
      <w:r>
        <w:rPr>
          <w:rFonts w:ascii="Times New Roman" w:hAnsi="Times New Roman"/>
          <w:i/>
          <w:color w:val="000000"/>
          <w:sz w:val="20"/>
        </w:rPr>
        <w:t>Rebates</w:t>
      </w:r>
      <w:r>
        <w:rPr>
          <w:rFonts w:ascii="Times New Roman" w:hAnsi="Times New Roman"/>
          <w:color w:val="000000"/>
          <w:sz w:val="20"/>
        </w:rPr>
        <w:t xml:space="preserve">: Allowance for rebates includes mandated discounts under the Medicaid Drug Rebate Program and TRICARE program. Rebates are amounts owed after the final dispensing of the product to a benefit plan participant and are based upon contractual agreements or statutory requirements. The allowance for rebates is based on contracted or statutory discount rates and expected utilization by benefit plan participants. The Company’s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the Company may need to adjust prior period accruals, which would affect product sales in the period of adjustment. </w:t>
      </w:r>
    </w:p>
    <w:p>
      <w:pPr>
        <w:pStyle w:val="TextBody"/>
        <w:bidi w:val="0"/>
        <w:spacing w:lineRule="auto" w:line="331" w:before="200" w:after="283"/>
        <w:jc w:val="both"/>
        <w:rPr>
          <w:rFonts w:ascii="Times New Roman" w:hAnsi="Times New Roman"/>
          <w:sz w:val="20"/>
        </w:rPr>
      </w:pPr>
      <w:r>
        <w:rPr>
          <w:rFonts w:ascii="Times New Roman" w:hAnsi="Times New Roman"/>
          <w:i/>
          <w:color w:val="000000"/>
          <w:sz w:val="20"/>
        </w:rPr>
        <w:t xml:space="preserve">Chargebacks: </w:t>
      </w:r>
      <w:r>
        <w:rPr>
          <w:rFonts w:ascii="Times New Roman" w:hAnsi="Times New Roman"/>
          <w:color w:val="000000"/>
          <w:sz w:val="20"/>
        </w:rPr>
        <w:t xml:space="preserve">Chargebacks are discounts and fees that relate to contracts with government and other entities purchasing from the SDs and SP at a discounted price. The SDs and SP charge back to the Company the difference between the price initially paid by the SDs and SP and the discounted price paid to the SDs and SP by these entities. If actual future chargebacks vary from these estimates, the Company may need to adjust prior period accruals, which would affect product sales in the period of adjustment.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sz w:val="20"/>
        </w:rPr>
      </w:pPr>
      <w:r>
        <w:rPr>
          <w:rFonts w:ascii="Times New Roman" w:hAnsi="Times New Roman"/>
          <w:i/>
          <w:color w:val="000000"/>
          <w:sz w:val="20"/>
        </w:rPr>
        <w:t>Co-Payment Assistance:</w:t>
      </w:r>
      <w:r>
        <w:rPr>
          <w:rFonts w:ascii="Times New Roman" w:hAnsi="Times New Roman"/>
          <w:color w:val="000000"/>
          <w:sz w:val="20"/>
        </w:rPr>
        <w:t xml:space="preserve"> The Company offers co-payment assistance to commercially insured patients meeting certain eligibility requirements. Co-payment assistance is accrued at the time of product sale to SDs and SP based on estimated patient participation and average co-pay benefit to be paid per a claim. The Company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pStyle w:val="TextBody"/>
        <w:bidi w:val="0"/>
        <w:spacing w:lineRule="auto" w:line="331" w:before="200" w:after="283"/>
        <w:jc w:val="both"/>
        <w:rPr>
          <w:rFonts w:ascii="Times New Roman" w:hAnsi="Times New Roman"/>
          <w:sz w:val="20"/>
        </w:rPr>
      </w:pPr>
      <w:r>
        <w:rPr>
          <w:rFonts w:ascii="Times New Roman" w:hAnsi="Times New Roman"/>
          <w:i/>
          <w:color w:val="000000"/>
          <w:sz w:val="20"/>
        </w:rPr>
        <w:t>Product Returns:</w:t>
      </w:r>
      <w:r>
        <w:rPr>
          <w:rFonts w:ascii="Times New Roman" w:hAnsi="Times New Roman"/>
          <w:color w:val="000000"/>
          <w:sz w:val="20"/>
        </w:rPr>
        <w:t xml:space="preserve"> Consistent with industry practice, the Company offers the SDs and SP limited product return rights for damages, shipment errors, and expiring product, provided that the return is within a specified period around the product expiration date as set forth in the applicable individual distribution agreement. The Company does not allow product returns for product that has been dispensed to a patient. As the Company receives inventory reports from the SDs and SP and has the ability to control the amount of product that is sold to the SDs and SP the Company’s estimate of future potential product returns is based on the on-hand channel inventory data and sell-through data obtained from the SDs and SP. In arriving at its estimate, the Company also considers historical product returns, the underlying product demand, and industry data specific to the specialty pharmaceutical distribution industry.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Revenue and allowances described above were recorded through the FYARRO Divestiture date of March 25, 2025. The total amount deducted from gross product sales for the allowances described above for the three months ended June 30, 2026 and 2025 was $0. The total amount deducted from gross product sales for the allowances described above for the six months ended June 30, 2026 and 2025 was $0 and $2.1 million, respectively.</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following table sets forth the changes in the accrued revenue allowances (in thousands):</w:t>
      </w:r>
    </w:p>
    <w:p>
      <w:pPr>
        <w:pStyle w:val="TextBody"/>
        <w:bidi w:val="0"/>
        <w:spacing w:lineRule="auto" w:line="331"/>
        <w:jc w:val="both"/>
        <w:rPr/>
      </w:pPr>
      <w:r>
        <w:rPr/>
        <w:t> </w:t>
      </w:r>
    </w:p>
    <w:tbl>
      <w:tblPr>
        <w:tblW w:w="7318" w:type="dxa"/>
        <w:jc w:val="left"/>
        <w:tblInd w:w="0" w:type="dxa"/>
        <w:tblLayout w:type="fixed"/>
        <w:tblCellMar>
          <w:top w:w="28" w:type="dxa"/>
          <w:left w:w="28" w:type="dxa"/>
          <w:bottom w:w="28" w:type="dxa"/>
          <w:right w:w="28" w:type="dxa"/>
        </w:tblCellMar>
      </w:tblPr>
      <w:tblGrid>
        <w:gridCol w:w="4486"/>
        <w:gridCol w:w="146"/>
        <w:gridCol w:w="620"/>
        <w:gridCol w:w="1855"/>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8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1,411</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Provision for current period sales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5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2,085</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(1,686</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Allowances transferred in sale of Aadi Subsidiary, Inc.</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85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8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both"/>
        <w:rPr/>
      </w:pPr>
      <w:r>
        <w:rPr/>
        <w:t> </w:t>
      </w:r>
    </w:p>
    <w:p>
      <w:pPr>
        <w:pStyle w:val="TextBody"/>
        <w:bidi w:val="0"/>
        <w:spacing w:lineRule="auto" w:line="273"/>
        <w:jc w:val="left"/>
        <w:rPr>
          <w:rFonts w:ascii="Times New Roman" w:hAnsi="Times New Roman"/>
          <w:b/>
          <w:i/>
          <w:color w:val="000000"/>
          <w:sz w:val="20"/>
        </w:rPr>
      </w:pPr>
      <w:r>
        <w:rPr>
          <w:rFonts w:ascii="Times New Roman" w:hAnsi="Times New Roman"/>
          <w:b/>
          <w:i/>
          <w:color w:val="000000"/>
          <w:sz w:val="20"/>
        </w:rPr>
        <w:t>Cost of Goods Sold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Cost of goods sold consist primarily of royalties paid to BMS, costs incurred on sales of FYARRO and costs to manufacture and prepare the product for sales subsequent to the FDA approval in November 2021. Cost of goods sold were recorded through the FYARRO Divestiture date of March 25, 2025.</w:t>
      </w:r>
    </w:p>
    <w:p>
      <w:pPr>
        <w:pStyle w:val="TextBody"/>
        <w:bidi w:val="0"/>
        <w:spacing w:lineRule="auto" w:line="331" w:before="200" w:after="283"/>
        <w:jc w:val="both"/>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lineRule="auto" w:line="331" w:before="200" w:after="283"/>
        <w:jc w:val="both"/>
        <w:rPr>
          <w:rFonts w:ascii="Times New Roman" w:hAnsi="Times New Roman"/>
          <w:sz w:val="20"/>
        </w:rPr>
      </w:pPr>
      <w:r>
        <w:rPr>
          <w:rFonts w:ascii="Times New Roman" w:hAnsi="Times New Roman"/>
          <w:color w:val="000000"/>
          <w:sz w:val="20"/>
        </w:rPr>
        <w:t>Research and development expenses consist of costs incurred in performing research and development activities, including salaries and benefits, materials and supplies, preclinical expenses, share-based compensation expense, contract services, and other external development expenses. The Company records research and development activities conducted by third-party service providers, which include work related to preclinical studies, clinical trials, and contract manufacturing activities, to research and development expense as incurred. The Company is required to estimate the amount of services provided but not yet invoiced and include these expenses in accrued expenses on the condensed consolidated balance sheets and within research and development expenses in the condensed consolidated statements of operations and comprehensive (loss) income. These expenses are a significant component of the Company’s</w:t>
      </w:r>
      <w:r>
        <w:rPr>
          <w:rFonts w:ascii="Times New Roman" w:hAnsi="Times New Roman"/>
          <w:color w:val="231F20"/>
          <w:sz w:val="20"/>
        </w:rPr>
        <w:t xml:space="preserve"> </w:t>
      </w:r>
      <w:r>
        <w:rPr>
          <w:rFonts w:ascii="Times New Roman" w:hAnsi="Times New Roman"/>
          <w:color w:val="000000"/>
          <w:sz w:val="20"/>
        </w:rPr>
        <w:t>research and development expenses and require significant estimates and judgments. The Company accrues for these expenses based on factors such as estimates of the work completed and in accordance with agreements established with its third-party service providers. As actual expenses become known, the Company adjusts its accrued expenses.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120" w:after="283"/>
        <w:jc w:val="both"/>
        <w:rPr>
          <w:rFonts w:ascii="Times New Roman" w:hAnsi="Times New Roman"/>
          <w:b/>
          <w:i/>
          <w:color w:val="000000"/>
          <w:sz w:val="20"/>
        </w:rPr>
      </w:pPr>
      <w:r>
        <w:rPr>
          <w:rFonts w:ascii="Times New Roman" w:hAnsi="Times New Roman"/>
          <w:b/>
          <w:i/>
          <w:color w:val="000000"/>
          <w:sz w:val="20"/>
        </w:rPr>
        <w:t>In-Process Research and Development (IPR&amp;D)</w:t>
      </w:r>
    </w:p>
    <w:p>
      <w:pPr>
        <w:pStyle w:val="TextBody"/>
        <w:bidi w:val="0"/>
        <w:spacing w:lineRule="auto" w:line="331" w:before="120" w:after="283"/>
        <w:jc w:val="both"/>
        <w:rPr>
          <w:rFonts w:ascii="Times New Roman" w:hAnsi="Times New Roman"/>
          <w:sz w:val="20"/>
        </w:rPr>
      </w:pPr>
      <w:r>
        <w:rPr>
          <w:rFonts w:ascii="Times New Roman" w:hAnsi="Times New Roman"/>
          <w:color w:val="231F20"/>
          <w:sz w:val="20"/>
        </w:rPr>
        <w:t xml:space="preserve">Acquired in-process research and development expenses are recorded when incurred and reflect costs of externally-developed in-process research and development (“IPR&amp;D”) projects, acquired directly in a transaction other than a business combination, that do not have an alternative future use, including upfront and pre-commercialization milestone payments related to various collaborations and the costs of rights to IPR&amp;D projects. </w:t>
      </w:r>
      <w:r>
        <w:rPr>
          <w:rFonts w:ascii="Times New Roman" w:hAnsi="Times New Roman"/>
          <w:color w:val="000000"/>
          <w:sz w:val="20"/>
        </w:rPr>
        <w:t>Refer to Note 7 for further information on the License Agreement and its terms.</w:t>
      </w:r>
    </w:p>
    <w:p>
      <w:pPr>
        <w:pStyle w:val="TextBody"/>
        <w:bidi w:val="0"/>
        <w:spacing w:lineRule="auto" w:line="331" w:before="120" w:after="283"/>
        <w:jc w:val="both"/>
        <w:rPr>
          <w:rFonts w:ascii="Times New Roman" w:hAnsi="Times New Roman"/>
          <w:color w:val="231F20"/>
          <w:sz w:val="20"/>
        </w:rPr>
      </w:pPr>
      <w:r>
        <w:rPr>
          <w:rFonts w:ascii="Times New Roman" w:hAnsi="Times New Roman"/>
          <w:color w:val="231F20"/>
          <w:sz w:val="20"/>
        </w:rPr>
        <w:t>For the three months ended June 30, 2026 and 2025, the Company recorded $0 and $40.4 million, respectively, in IPR&amp;D for development milestone-related expense. The Company recorded $5.3 million and $40.4 million in IPR&amp;D for development milestone-related expense for the six months ended June 30, 2026 and 2025, respectively.</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Company determines the accounting classification of warrants it issues as either liability or equity classified by first assessing whether the warrants meet the liability classification in accordance with ASC 480-10, Accounting for Certain Financial Instruments with Characteristics of both Liabilities and Equity (“ASC 480”), then in accordance with ASC 815-40, Accounting for Derivative Financial Instruments Indexed to, and Potentially Settled in, a Company’s Own Stock (“ASC 815”). If warrants do not meet liability classification under ASC 480-10, the Company assesses the requirements under ASC 815-40. In order for a warrant to be classified in stockholders’ equity, the warrant must be (a) indexed to the Company’s equity and (b) meet the conditions for equity classification in ASC 815-40, Derivatives and Hedging - Contracts in an Entity’s Own Equity. If a warrant does not meet the conditions for equity classification, it is carried on the balance sheet as a warrant liability measured at fair value, with subsequent changes in the fair value of the warrant recorded in the statement of operations as change in fair value of warrants in other income (expense). If a warrant meets both conditions for equity classification, the warrant is initially recorded in additional paid-in capital on the balance sheets, and the amount initially recorded is not subsequently remeasured at fair value. The Company has classified its pre-funded warrants as equity.</w:t>
      </w:r>
    </w:p>
    <w:p>
      <w:pPr>
        <w:pStyle w:val="TextBody"/>
        <w:bidi w:val="0"/>
        <w:spacing w:lineRule="auto" w:line="331" w:before="200" w:after="283"/>
        <w:jc w:val="both"/>
        <w:rPr>
          <w:rFonts w:ascii="Times New Roman" w:hAnsi="Times New Roman"/>
          <w:sz w:val="20"/>
        </w:rPr>
      </w:pPr>
      <w:r>
        <w:rPr>
          <w:rFonts w:ascii="Times New Roman" w:hAnsi="Times New Roman"/>
          <w:b/>
          <w:i/>
          <w:color w:val="000000"/>
          <w:sz w:val="20"/>
        </w:rPr>
        <w:t>Share-Based Compensation</w:t>
      </w:r>
      <w:r>
        <w:rPr>
          <w:rFonts w:ascii="Times New Roman" w:hAnsi="Times New Roman"/>
          <w:color w:val="000000"/>
          <w:sz w:val="20"/>
        </w:rPr>
        <w:t xml:space="preserve"> </w:t>
      </w:r>
    </w:p>
    <w:p>
      <w:pPr>
        <w:pStyle w:val="TextBody"/>
        <w:bidi w:val="0"/>
        <w:spacing w:lineRule="auto" w:line="331" w:before="200" w:after="283"/>
        <w:jc w:val="both"/>
        <w:rPr>
          <w:rFonts w:ascii="Times New Roman" w:hAnsi="Times New Roman"/>
          <w:sz w:val="20"/>
        </w:rPr>
      </w:pPr>
      <w:r>
        <w:rPr>
          <w:rFonts w:ascii="Times New Roman" w:hAnsi="Times New Roman"/>
          <w:color w:val="000000"/>
          <w:sz w:val="20"/>
        </w:rPr>
        <w:t xml:space="preserve">The Company recognizes all share-based payments to employees, including grants of employee stock options and restricted stock units in the consolidated statements of operations and comprehensive loss based on their fair values. All of the Company’s share-based awards, to employees, non-employees, officers, and directors, are subject only to service-based vesting conditions. Compensation expense for awards to employees is calculated on a straight-line basis by recognizing the fair value over the associated service period of the award, which is generally the vesting term. </w:t>
      </w:r>
      <w:r>
        <w:rPr>
          <w:rFonts w:ascii="Times New Roman" w:hAnsi="Times New Roman"/>
          <w:color w:val="231F20"/>
          <w:sz w:val="20"/>
        </w:rPr>
        <w:t>Options granted during the year have a maximum contractual term of ten years.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Share-based compensation expense for employee stock purchases under the Company’s 2021 Employee Stock Purchase Plan (the “2021 ESPP”) is recorded at the estimated fair value of the purchase as of the plan enrollment date and is recognized as an expense on a straight-line basis over the applicable six-month 2021 ESPP offering period. </w:t>
      </w:r>
    </w:p>
    <w:p>
      <w:pPr>
        <w:pStyle w:val="TextBody"/>
        <w:bidi w:val="0"/>
        <w:spacing w:lineRule="auto" w:line="331" w:before="20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During the three and six months ended June 30, 2026, other income includes interest income earned on cash, cash equivalents and short-term investments, and foreign exchange loss. During the three months ended June 30, 2025, other income includes interest income earned on cash, cash equivalents, short-term investments, foreign exchange loss, and income received for billable services not part of the Company's ordinary activities provided by its employees to KAKEN under a Transition Services Agreement ("TSA"). The TSA was entered into in connection with the sale of the business on March 25, 2025 and expired September 30, 2025. During the six months ended June 30, 2025 other income includes interest income earned on cash, cash equivalents, short-term investments, gain on sale of a business, foreign exchange loss, and income received for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billable services not part of the Company's ordinary activities provided by its employees to KAKEN under a Transition Services Agreement TSA.</w:t>
      </w:r>
    </w:p>
    <w:p>
      <w:pPr>
        <w:pStyle w:val="TextBody"/>
        <w:bidi w:val="0"/>
        <w:spacing w:lineRule="auto" w:line="331" w:before="20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Company recognizes interest and penalties related to uncertain tax positions, if any exist, in income tax expense (benefit). </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Net (Loss) Income per Share</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Basic net (loss) income per share is calculated by dividing the net loss attributable to common stockholders by the weighted-average number of common shares outstanding for the period. Basic and diluted weighted average shares of common stock outstanding for the three and six months ended June 30, 2026 and 2025, includes the weighted average effect of 17,991,021, 16,866,574, and 2,000,037 pre-funded warrants, which were issued in May 2026, March 2025, and September 2022, respectively, for the purchase of shares of common stock, for which the remaining unfunded exercise price is $0.0001 per share. See Note 8 for more information on the pre-funded warrants.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Diluted net loss per share is computed by dividing the net loss attributable to common stockholders by the weighted average number of common shares and common share equivalents outstanding for the period. Common stock equivalents are only included when their effect is dilutive.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Company incurred net losses for the three and six months ended June 30, 2026 and therefore did not include potentially dilutive common stock equivalents in the computation of diluted net loss per share. For the three months ended June 30, 2025, the Company incurred net losses and therefore did not include potentially dilutive common stock equivalents in the computation of diluted net loss per share. For the six months ended June 30, 2025 options to purchase common stock totaling 3,828,884 shares, were excluded from the calculation of diluted net loss per share as their effect would have been anti-dilutive.</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computations for basic and diluted EPS were as follows (in thousands, except shares and per share amounts):</w:t>
      </w:r>
    </w:p>
    <w:p>
      <w:pPr>
        <w:pStyle w:val="TextBody"/>
        <w:bidi w:val="0"/>
        <w:spacing w:lineRule="auto" w:line="273"/>
        <w:jc w:val="both"/>
        <w:rPr/>
      </w:pPr>
      <w:r>
        <w:rPr/>
        <w:t> </w:t>
      </w:r>
    </w:p>
    <w:tbl>
      <w:tblPr>
        <w:tblW w:w="10077" w:type="dxa"/>
        <w:jc w:val="left"/>
        <w:tblInd w:w="0" w:type="dxa"/>
        <w:tblLayout w:type="fixed"/>
        <w:tblCellMar>
          <w:top w:w="28" w:type="dxa"/>
          <w:left w:w="28" w:type="dxa"/>
          <w:bottom w:w="28" w:type="dxa"/>
          <w:right w:w="28" w:type="dxa"/>
        </w:tblCellMar>
      </w:tblPr>
      <w:tblGrid>
        <w:gridCol w:w="3616"/>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(loss) income for basic and diluted EPS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(38,834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20,401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Weighted-average shares for basic EPS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82,886,196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69,083,127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76,099,275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54,443,309</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Effect of dilutive stock options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71,128</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Effect of dilutive restricted stock units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394,278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Weighted-average shares for diluted EPS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82,886,196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69,083,127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76,099,275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54,908,715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Basic EPS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0.37</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Diluted EPS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0.37</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jc w:val="both"/>
        <w:rPr/>
      </w:pPr>
      <w:r>
        <w:rPr/>
        <w:t> </w:t>
      </w:r>
    </w:p>
    <w:p>
      <w:pPr>
        <w:pStyle w:val="TextBody"/>
        <w:bidi w:val="0"/>
        <w:spacing w:lineRule="auto" w:line="331"/>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Disaggregation of Income Statement Expenses. ASU 2024-03 requires additional disclosure of the nature of expenses included in the financial statements. ASU 2024-03 is effective for fiscal years beginning after December 15, 2026, and interim reporting periods beginning after December 15, 2027. Early adoption is permitted. The Company is currently evaluating the impact of ASU 2024-03 on the financial statements and related disclosures.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On December 08, 2025, the FASB issued Accounting Standards Update ASU 2025-11, Interim Reporting (Topic 270): Narrow-Scope Improvements, which primarily amends FASB Accounting Standards Codification 270, Interim Reporting, clarifying the applicability of the interim reporting guidance, the types of interim reporting, and the form and content of interim financial statements. The amendments in ASU 2025-11 apply to all entities that provide interim financial statements and notes in accordance with U.S. generally accepted accounting principles (U.S. GAAP). Early adoption is permitted. ASU 2025-11 can be applied prospectively or retrospectively and is effective for interim reporting periods within annual reporting periods beginning after December 15, 2027. The Company is evaluating the impact of ASU 2025-11 on the financial statements and related disclosures.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December 2025, the FASB issued ASU 2025-12, "Codification Improvements." This ASU addresses suggestions received from stakeholders regarding the Accounting Standards Codification and makes other incremental improvements to U.S. GAAP. The update represents changes to the Codification that clarify, correct errors in or make other improvements to a variety of topics that are intended to make it easier to understand and apply. ASU 2025-12 is effective for fiscal years beginning after December 15, 2026 and interim periods within those fiscal years. Entities are required to apply the amendments to ASC 260 retrospectively. All other amendments may be applied prospectively or retrospectively. The Company is evaluating the effect that ASU 2025-12 will have on its consolidated financial statements and related disclosures.</w:t>
      </w:r>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b/>
          <w:color w:val="231F20"/>
          <w:sz w:val="20"/>
        </w:rPr>
      </w:pPr>
      <w:r>
        <w:rPr>
          <w:rFonts w:ascii="Times New Roman" w:hAnsi="Times New Roman"/>
          <w:b/>
          <w:color w:val="231F20"/>
          <w:sz w:val="20"/>
        </w:rPr>
        <w:t>3. Fair Value Measurement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following table sets forth the recurring fair value of the Company’s financial assets and liabilities, allocated into the Level 1, Level 2 and Level 3 hierarchy that were measured at fair value on a recurring basis (in thousands):</w:t>
      </w:r>
    </w:p>
    <w:p>
      <w:pPr>
        <w:pStyle w:val="TextBody"/>
        <w:bidi w:val="0"/>
        <w:spacing w:lineRule="auto" w:line="331"/>
        <w:jc w:val="both"/>
        <w:rPr/>
      </w:pPr>
      <w:r>
        <w:rPr/>
        <w:t> </w:t>
      </w:r>
    </w:p>
    <w:tbl>
      <w:tblPr>
        <w:tblW w:w="7680" w:type="dxa"/>
        <w:jc w:val="left"/>
        <w:tblInd w:w="0" w:type="dxa"/>
        <w:tblLayout w:type="fixed"/>
        <w:tblCellMar>
          <w:top w:w="28" w:type="dxa"/>
          <w:left w:w="28" w:type="dxa"/>
          <w:bottom w:w="28" w:type="dxa"/>
          <w:right w:w="28" w:type="dxa"/>
        </w:tblCellMar>
      </w:tblPr>
      <w:tblGrid>
        <w:gridCol w:w="2766"/>
        <w:gridCol w:w="146"/>
        <w:gridCol w:w="211"/>
        <w:gridCol w:w="781"/>
        <w:gridCol w:w="146"/>
        <w:gridCol w:w="146"/>
        <w:gridCol w:w="211"/>
        <w:gridCol w:w="676"/>
        <w:gridCol w:w="146"/>
        <w:gridCol w:w="146"/>
        <w:gridCol w:w="239"/>
        <w:gridCol w:w="391"/>
        <w:gridCol w:w="146"/>
        <w:gridCol w:w="146"/>
        <w:gridCol w:w="211"/>
        <w:gridCol w:w="781"/>
        <w:gridCol w:w="391"/>
      </w:tblGrid>
      <w:tr>
        <w:trPr/>
        <w:tc>
          <w:tcPr>
            <w:tcW w:w="2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 Measurements as of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Money market funds (1)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84,984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84,984</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 treasury bills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46,111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46,111</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16,963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16,963</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41,674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41,674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131,095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58,637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189,732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both"/>
        <w:rPr/>
      </w:pPr>
      <w:r>
        <w:rPr/>
        <w:t> </w:t>
      </w:r>
    </w:p>
    <w:tbl>
      <w:tblPr>
        <w:tblW w:w="7575" w:type="dxa"/>
        <w:jc w:val="left"/>
        <w:tblInd w:w="0" w:type="dxa"/>
        <w:tblLayout w:type="fixed"/>
        <w:tblCellMar>
          <w:top w:w="28" w:type="dxa"/>
          <w:left w:w="28" w:type="dxa"/>
          <w:bottom w:w="28" w:type="dxa"/>
          <w:right w:w="28" w:type="dxa"/>
        </w:tblCellMar>
      </w:tblPr>
      <w:tblGrid>
        <w:gridCol w:w="2766"/>
        <w:gridCol w:w="146"/>
        <w:gridCol w:w="211"/>
        <w:gridCol w:w="676"/>
        <w:gridCol w:w="146"/>
        <w:gridCol w:w="146"/>
        <w:gridCol w:w="211"/>
        <w:gridCol w:w="676"/>
        <w:gridCol w:w="146"/>
        <w:gridCol w:w="146"/>
        <w:gridCol w:w="239"/>
        <w:gridCol w:w="391"/>
        <w:gridCol w:w="146"/>
        <w:gridCol w:w="146"/>
        <w:gridCol w:w="211"/>
        <w:gridCol w:w="781"/>
        <w:gridCol w:w="391"/>
      </w:tblGrid>
      <w:tr>
        <w:trPr/>
        <w:tc>
          <w:tcPr>
            <w:tcW w:w="2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 Measurements 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Money market funds (1)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37,318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37,318</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U.S. government treasury bills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43,881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43,881</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16,262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16,262</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47,986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47,986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81,199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145,447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both"/>
        <w:rPr/>
      </w:pPr>
      <w:r>
        <w:rPr/>
        <w:t> </w:t>
      </w:r>
    </w:p>
    <w:p>
      <w:pPr>
        <w:pStyle w:val="TextBody"/>
        <w:bidi w:val="0"/>
        <w:spacing w:lineRule="auto" w:line="331"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lineRule="auto" w:line="331"/>
        <w:jc w:val="both"/>
        <w:rPr>
          <w:rFonts w:ascii="Times New Roman" w:hAnsi="Times New Roman"/>
          <w:color w:val="000000"/>
          <w:sz w:val="20"/>
        </w:rPr>
      </w:pPr>
      <w:r>
        <w:rPr>
          <w:rFonts w:ascii="Times New Roman" w:hAnsi="Times New Roman"/>
          <w:color w:val="000000"/>
          <w:sz w:val="20"/>
        </w:rPr>
        <w:t>Included in cash and cash equivalents in the accompanying condensed consolidated balance sheets.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left"/>
        <w:rPr>
          <w:rFonts w:ascii="Times New Roman" w:hAnsi="Times New Roman"/>
          <w:b/>
          <w:color w:val="231F20"/>
          <w:sz w:val="20"/>
        </w:rPr>
      </w:pPr>
      <w:r>
        <w:rPr>
          <w:rFonts w:ascii="Times New Roman" w:hAnsi="Times New Roman"/>
          <w:b/>
          <w:color w:val="231F20"/>
          <w:sz w:val="20"/>
        </w:rPr>
        <w:t>4. Short-Term Investments and Cash Equivalents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The following table summarizes the Company's short-term investments (in thousands): </w:t>
      </w:r>
    </w:p>
    <w:p>
      <w:pPr>
        <w:pStyle w:val="TextBody"/>
        <w:bidi w:val="0"/>
        <w:spacing w:lineRule="auto" w:line="331"/>
        <w:jc w:val="left"/>
        <w:rPr/>
      </w:pPr>
      <w:r>
        <w:rPr/>
        <w:t> </w:t>
      </w:r>
    </w:p>
    <w:tbl>
      <w:tblPr>
        <w:tblW w:w="9697" w:type="dxa"/>
        <w:jc w:val="left"/>
        <w:tblInd w:w="0" w:type="dxa"/>
        <w:tblLayout w:type="fixed"/>
        <w:tblCellMar>
          <w:top w:w="28" w:type="dxa"/>
          <w:left w:w="28" w:type="dxa"/>
          <w:bottom w:w="28" w:type="dxa"/>
          <w:right w:w="28" w:type="dxa"/>
        </w:tblCellMar>
      </w:tblPr>
      <w:tblGrid>
        <w:gridCol w:w="2566"/>
        <w:gridCol w:w="146"/>
        <w:gridCol w:w="1996"/>
        <w:gridCol w:w="146"/>
        <w:gridCol w:w="211"/>
        <w:gridCol w:w="781"/>
        <w:gridCol w:w="146"/>
        <w:gridCol w:w="146"/>
        <w:gridCol w:w="335"/>
        <w:gridCol w:w="551"/>
        <w:gridCol w:w="146"/>
        <w:gridCol w:w="146"/>
        <w:gridCol w:w="318"/>
        <w:gridCol w:w="568"/>
        <w:gridCol w:w="166"/>
        <w:gridCol w:w="146"/>
        <w:gridCol w:w="211"/>
        <w:gridCol w:w="781"/>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Maturity</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84,984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84,984</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U.S. government treasury bills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46,143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46,111</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16,964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16,963</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32,770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32,745</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More than 1 less than 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189,795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189,732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both"/>
        <w:rPr/>
      </w:pPr>
      <w:r>
        <w:rPr/>
        <w:t> </w:t>
      </w:r>
    </w:p>
    <w:tbl>
      <w:tblPr>
        <w:tblW w:w="9677" w:type="dxa"/>
        <w:jc w:val="left"/>
        <w:tblInd w:w="0" w:type="dxa"/>
        <w:tblLayout w:type="fixed"/>
        <w:tblCellMar>
          <w:top w:w="28" w:type="dxa"/>
          <w:left w:w="28" w:type="dxa"/>
          <w:bottom w:w="28" w:type="dxa"/>
          <w:right w:w="28" w:type="dxa"/>
        </w:tblCellMar>
      </w:tblPr>
      <w:tblGrid>
        <w:gridCol w:w="2566"/>
        <w:gridCol w:w="146"/>
        <w:gridCol w:w="1996"/>
        <w:gridCol w:w="146"/>
        <w:gridCol w:w="211"/>
        <w:gridCol w:w="781"/>
        <w:gridCol w:w="146"/>
        <w:gridCol w:w="146"/>
        <w:gridCol w:w="295"/>
        <w:gridCol w:w="591"/>
        <w:gridCol w:w="146"/>
        <w:gridCol w:w="146"/>
        <w:gridCol w:w="335"/>
        <w:gridCol w:w="551"/>
        <w:gridCol w:w="146"/>
        <w:gridCol w:w="146"/>
        <w:gridCol w:w="211"/>
        <w:gridCol w:w="781"/>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632" w:type="dxa"/>
            <w:gridSpan w:val="14"/>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Maturity</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37,318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37,318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U.S. government treasury bills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43,857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43,881</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16,239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16,262</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Less than 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44,907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44,973</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More than 1 less than 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145,327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145,447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As of June 30, 2026, the available-for-sale debt securities are of high credit quality, and there were no realized losses recognized as of June 30, 2026 and December 31, 2025. No allowance for credit losses was recognized as of June 30, 2026 or December 31, 2025.</w:t>
      </w:r>
    </w:p>
    <w:p>
      <w:pPr>
        <w:pStyle w:val="TextBody"/>
        <w:bidi w:val="0"/>
        <w:spacing w:lineRule="auto" w:line="331"/>
        <w:jc w:val="both"/>
        <w:rPr/>
      </w:pPr>
      <w:r>
        <w:rPr/>
        <w:t> </w:t>
      </w:r>
    </w:p>
    <w:p>
      <w:pPr>
        <w:pStyle w:val="TextBody"/>
        <w:bidi w:val="0"/>
        <w:spacing w:lineRule="auto" w:line="331"/>
        <w:jc w:val="both"/>
        <w:rPr>
          <w:rFonts w:ascii="Times New Roman" w:hAnsi="Times New Roman"/>
          <w:sz w:val="20"/>
        </w:rPr>
      </w:pPr>
      <w:r>
        <w:rPr>
          <w:rFonts w:ascii="Times New Roman" w:hAnsi="Times New Roman"/>
          <w:b/>
          <w:color w:val="000000"/>
          <w:sz w:val="20"/>
        </w:rPr>
        <w:t>5. Accrued Liabilities</w:t>
      </w:r>
      <w:r>
        <w:rPr>
          <w:rFonts w:ascii="Times New Roman" w:hAnsi="Times New Roman"/>
          <w:color w:val="000000"/>
          <w:sz w:val="20"/>
        </w:rPr>
        <w:t xml:space="preserv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Details of accrued liabilities are presented as follows (in thousands):</w:t>
      </w:r>
    </w:p>
    <w:p>
      <w:pPr>
        <w:pStyle w:val="TextBody"/>
        <w:bidi w:val="0"/>
        <w:spacing w:lineRule="auto" w:line="331"/>
        <w:jc w:val="both"/>
        <w:rPr/>
      </w:pPr>
      <w:r>
        <w:rPr/>
        <w:t> </w:t>
      </w:r>
    </w:p>
    <w:tbl>
      <w:tblPr>
        <w:tblW w:w="5462" w:type="dxa"/>
        <w:jc w:val="left"/>
        <w:tblInd w:w="0" w:type="dxa"/>
        <w:tblLayout w:type="fixed"/>
        <w:tblCellMar>
          <w:top w:w="28" w:type="dxa"/>
          <w:left w:w="28" w:type="dxa"/>
          <w:bottom w:w="28" w:type="dxa"/>
          <w:right w:w="28" w:type="dxa"/>
        </w:tblCellMar>
      </w:tblPr>
      <w:tblGrid>
        <w:gridCol w:w="2956"/>
        <w:gridCol w:w="146"/>
        <w:gridCol w:w="211"/>
        <w:gridCol w:w="571"/>
        <w:gridCol w:w="146"/>
        <w:gridCol w:w="146"/>
        <w:gridCol w:w="260"/>
        <w:gridCol w:w="835"/>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2,365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968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Accrued salaries and payroll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602</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Accrued restructuring charges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192</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Accrued bonus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1,719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3,160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Accrued contract manufacturing</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1,431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3,935</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Accrued clinical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3,280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4,627</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13,602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both"/>
        <w:rPr/>
      </w:pPr>
      <w:r>
        <w:rPr/>
        <w:t> </w:t>
      </w:r>
    </w:p>
    <w:p>
      <w:pPr>
        <w:pStyle w:val="TextBody"/>
        <w:bidi w:val="0"/>
        <w:spacing w:lineRule="auto" w:line="302"/>
        <w:jc w:val="left"/>
        <w:rPr>
          <w:rFonts w:ascii="Times New Roman" w:hAnsi="Times New Roman"/>
          <w:b/>
          <w:color w:val="000000"/>
          <w:sz w:val="20"/>
        </w:rPr>
      </w:pPr>
      <w:r>
        <w:rPr>
          <w:rFonts w:ascii="Times New Roman" w:hAnsi="Times New Roman"/>
          <w:b/>
          <w:color w:val="000000"/>
          <w:sz w:val="20"/>
        </w:rPr>
        <w:t>6. Operating Leases</w:t>
      </w:r>
    </w:p>
    <w:p>
      <w:pPr>
        <w:pStyle w:val="TextBody"/>
        <w:bidi w:val="0"/>
        <w:spacing w:lineRule="auto" w:line="302" w:before="200" w:after="283"/>
        <w:jc w:val="both"/>
        <w:rPr>
          <w:rFonts w:ascii="Times New Roman" w:hAnsi="Times New Roman"/>
          <w:sz w:val="20"/>
        </w:rPr>
      </w:pPr>
      <w:r>
        <w:rPr>
          <w:rFonts w:ascii="Times New Roman" w:hAnsi="Times New Roman"/>
          <w:color w:val="231F20"/>
          <w:sz w:val="20"/>
        </w:rPr>
        <w:t xml:space="preserve">In April 2019, the Company entered into a twenty-eight month facility lease agreement for office space in Pacific Palisades, California (the “Pacific Palisades Lease”). The Pacific Palisades Lease commenced on May 1, 2019, included four months of rent abatement and a rent escalation clause and was set to expire on August 31, 2021. In August 2021, the Company exercised its option to extend the term of the Pacific Palisades Lease for an additional three-year period and entered into an amendment to the lease agreement (the “Pacific Palisades Lease Amendment”). Pursuant to the Pacific Palisades Lease Amendment, the Company and the landlord agreed to extend the term for an additional period of three (3) years and six (6) months, until February 28, 2025, with an option to renew for an additional three (3) years in accordance with the terms of the Pacific Palisades Lease. Included in the Pacific Palisades Lease Amendment were nine months of rent abatement and a rent escalation clause. </w:t>
      </w:r>
      <w:r>
        <w:rPr>
          <w:rFonts w:ascii="Times New Roman" w:hAnsi="Times New Roman"/>
          <w:color w:val="000000"/>
          <w:sz w:val="20"/>
        </w:rPr>
        <w:t>The Pacific Palisades Lease expired on February 28, 2025.</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02" w:before="200" w:after="283"/>
        <w:jc w:val="both"/>
        <w:rPr>
          <w:rFonts w:ascii="Times New Roman" w:hAnsi="Times New Roman"/>
          <w:sz w:val="20"/>
        </w:rPr>
      </w:pPr>
      <w:r>
        <w:rPr>
          <w:rFonts w:ascii="Times New Roman" w:hAnsi="Times New Roman"/>
          <w:color w:val="231F20"/>
          <w:sz w:val="20"/>
        </w:rPr>
        <w:t xml:space="preserve">In April 2022, the Company entered into a lease agreement for office space in Morristown, New Jersey (the “Morristown Lease”). The Morristown Lease has a term of seventy-three months, unless terminated sooner, and includes rent abatement for the first three months and the forty-seventh and forty-eighth calendar months after lease commencement. Included in the Morristown Lease are fixed rent escalations of approximately 2% on each anniversary year of the lease term. </w:t>
      </w:r>
      <w:r>
        <w:rPr>
          <w:rFonts w:ascii="Times New Roman" w:hAnsi="Times New Roman"/>
          <w:color w:val="000000"/>
          <w:sz w:val="20"/>
        </w:rPr>
        <w:t>In connection with the FYARRO Divestiture, KAKEN assumed the Morristown Lease. The Company entered into a short-term sublease with KAKEN and is currently in the process of extending the sublease arrangement upon the sublandlord's and landlord's consent. The Company has elected the short-term lease exemption under ASC 842. As such, this lease is not recorded on the balance sheet. Lease payments made are recognized on a straight-line basis over the lease term in the income statement.</w:t>
      </w:r>
    </w:p>
    <w:p>
      <w:pPr>
        <w:pStyle w:val="TextBody"/>
        <w:bidi w:val="0"/>
        <w:spacing w:lineRule="auto" w:line="331" w:before="200" w:after="283"/>
        <w:jc w:val="both"/>
        <w:rPr>
          <w:rFonts w:ascii="Times New Roman" w:hAnsi="Times New Roman"/>
          <w:sz w:val="20"/>
        </w:rPr>
      </w:pPr>
      <w:r>
        <w:rPr>
          <w:rFonts w:ascii="Times New Roman" w:hAnsi="Times New Roman"/>
          <w:color w:val="231F20"/>
          <w:sz w:val="20"/>
        </w:rPr>
        <w:t xml:space="preserve">Rent expense </w:t>
      </w:r>
      <w:r>
        <w:rPr>
          <w:rFonts w:ascii="Times New Roman" w:hAnsi="Times New Roman"/>
          <w:color w:val="000000"/>
          <w:sz w:val="20"/>
        </w:rPr>
        <w:t>for the three and six months ended June 30, 2026 and 2025 is presented on the following table (in thousands):</w:t>
      </w:r>
    </w:p>
    <w:p>
      <w:pPr>
        <w:pStyle w:val="TextBody"/>
        <w:bidi w:val="0"/>
        <w:spacing w:lineRule="auto" w:line="331"/>
        <w:jc w:val="both"/>
        <w:rPr/>
      </w:pPr>
      <w:r>
        <w:rPr/>
        <w:t> </w:t>
      </w:r>
    </w:p>
    <w:tbl>
      <w:tblPr>
        <w:tblW w:w="7406" w:type="dxa"/>
        <w:jc w:val="left"/>
        <w:tblInd w:w="0" w:type="dxa"/>
        <w:tblLayout w:type="fixed"/>
        <w:tblCellMar>
          <w:top w:w="28" w:type="dxa"/>
          <w:left w:w="28" w:type="dxa"/>
          <w:bottom w:w="28" w:type="dxa"/>
          <w:right w:w="28" w:type="dxa"/>
        </w:tblCellMar>
      </w:tblPr>
      <w:tblGrid>
        <w:gridCol w:w="2446"/>
        <w:gridCol w:w="146"/>
        <w:gridCol w:w="355"/>
        <w:gridCol w:w="531"/>
        <w:gridCol w:w="245"/>
        <w:gridCol w:w="245"/>
        <w:gridCol w:w="355"/>
        <w:gridCol w:w="531"/>
        <w:gridCol w:w="146"/>
        <w:gridCol w:w="146"/>
        <w:gridCol w:w="301"/>
        <w:gridCol w:w="451"/>
        <w:gridCol w:w="208"/>
        <w:gridCol w:w="208"/>
        <w:gridCol w:w="301"/>
        <w:gridCol w:w="600"/>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2"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9"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rent expense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46</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108</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both"/>
        <w:rPr/>
      </w:pPr>
      <w:r>
        <w:rPr/>
        <w:t> </w:t>
      </w:r>
    </w:p>
    <w:p>
      <w:pPr>
        <w:pStyle w:val="TextBody"/>
        <w:bidi w:val="0"/>
        <w:spacing w:lineRule="auto" w:line="331"/>
        <w:jc w:val="both"/>
        <w:rPr>
          <w:rFonts w:ascii="Times New Roman" w:hAnsi="Times New Roman"/>
          <w:color w:val="000000"/>
          <w:sz w:val="20"/>
        </w:rPr>
      </w:pPr>
      <w:r>
        <w:rPr>
          <w:rFonts w:ascii="Times New Roman" w:hAnsi="Times New Roman"/>
          <w:color w:val="000000"/>
          <w:sz w:val="20"/>
        </w:rPr>
        <w:t>Cash paid for leases and included in operating cash flows for the six months ended June 30, 2026 and 2025 is presented on the following table (in thousands):</w:t>
      </w:r>
    </w:p>
    <w:p>
      <w:pPr>
        <w:pStyle w:val="TextBody"/>
        <w:bidi w:val="0"/>
        <w:spacing w:lineRule="auto" w:line="331"/>
        <w:jc w:val="both"/>
        <w:rPr/>
      </w:pPr>
      <w:r>
        <w:rPr/>
        <w:t> </w:t>
      </w:r>
    </w:p>
    <w:tbl>
      <w:tblPr>
        <w:tblW w:w="6020" w:type="dxa"/>
        <w:jc w:val="left"/>
        <w:tblInd w:w="0" w:type="dxa"/>
        <w:tblLayout w:type="fixed"/>
        <w:tblCellMar>
          <w:top w:w="28" w:type="dxa"/>
          <w:left w:w="28" w:type="dxa"/>
          <w:bottom w:w="28" w:type="dxa"/>
          <w:right w:w="28" w:type="dxa"/>
        </w:tblCellMar>
      </w:tblPr>
      <w:tblGrid>
        <w:gridCol w:w="3616"/>
        <w:gridCol w:w="146"/>
        <w:gridCol w:w="317"/>
        <w:gridCol w:w="520"/>
        <w:gridCol w:w="219"/>
        <w:gridCol w:w="219"/>
        <w:gridCol w:w="317"/>
        <w:gridCol w:w="475"/>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67"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Cash paid included in operating cash flows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2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99</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both"/>
        <w:rPr/>
      </w:pPr>
      <w:r>
        <w:rPr/>
        <w:t> </w:t>
      </w:r>
    </w:p>
    <w:p>
      <w:pPr>
        <w:pStyle w:val="TextBody"/>
        <w:bidi w:val="0"/>
        <w:spacing w:lineRule="auto" w:line="331"/>
        <w:jc w:val="both"/>
        <w:rPr>
          <w:rFonts w:ascii="Times New Roman" w:hAnsi="Times New Roman"/>
          <w:sz w:val="20"/>
        </w:rPr>
      </w:pPr>
      <w:r>
        <w:rPr>
          <w:rFonts w:ascii="Times New Roman" w:hAnsi="Times New Roman"/>
          <w:b/>
          <w:color w:val="231F20"/>
          <w:sz w:val="20"/>
        </w:rPr>
        <w:t>7. L</w:t>
      </w:r>
      <w:r>
        <w:rPr>
          <w:rFonts w:ascii="Times New Roman" w:hAnsi="Times New Roman"/>
          <w:b/>
          <w:color w:val="000000"/>
          <w:sz w:val="20"/>
        </w:rPr>
        <w:t>icense Agreements</w:t>
      </w:r>
    </w:p>
    <w:p>
      <w:pPr>
        <w:pStyle w:val="TextBody"/>
        <w:bidi w:val="0"/>
        <w:spacing w:lineRule="auto" w:line="331" w:before="200" w:after="283"/>
        <w:jc w:val="both"/>
        <w:rPr>
          <w:rFonts w:ascii="Times New Roman" w:hAnsi="Times New Roman"/>
          <w:i/>
          <w:color w:val="000000"/>
          <w:sz w:val="20"/>
        </w:rPr>
      </w:pPr>
      <w:r>
        <w:rPr>
          <w:rFonts w:ascii="Times New Roman" w:hAnsi="Times New Roman"/>
          <w:i/>
          <w:color w:val="000000"/>
          <w:sz w:val="20"/>
        </w:rPr>
        <w:t>Former Bristol-Myers Squibb Company License Agreement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On April 9, 2014, the Company entered into a license agreement (as amended the “BMS License Agreement”) with BMS for exclusive rights for certain patents and a non-exclusive license for certain technology and know-how pertaining to FYARRO.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The BMS License Agreement will remain in effect from the effective date of April 9, 2014 until expiration of all milestone and royalty payment obligations under the agreement, unless terminated by either of the parties pursuant to the terms of the BMS License Agreement, including providing advance notice as specified in the agreement. Under the terms of the BMS License Agreement, BMS agreed to supply the Company with licensed products of FYARRO necessary for clinical or non-clinical development.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Under the terms of the BMS License Agreement, BMS is entitled to receive royalties on net sales from licensed products under the agreement and any sublicense fees. During the three months ended June 30, 2026 and 2025, royalties on net product sales were $0. During the six months ended June 30, 2026 and 2025, royalties on net product sales were $0 and $0.5 million, respectively. No payments related to sublicense fees were paid during the three and six months ended June 30, 2026 and 2025.</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As part of its purchase of the FYARRO Business, KAKEN acquired the Company's rights and responsibilities under the BMS License Agreement. </w:t>
      </w:r>
    </w:p>
    <w:p>
      <w:pPr>
        <w:pStyle w:val="TextBody"/>
        <w:bidi w:val="0"/>
        <w:spacing w:lineRule="auto" w:line="331" w:before="200" w:after="283"/>
        <w:jc w:val="both"/>
        <w:rPr>
          <w:rFonts w:ascii="Times New Roman" w:hAnsi="Times New Roman"/>
          <w:sz w:val="20"/>
        </w:rPr>
      </w:pPr>
      <w:r>
        <w:rPr>
          <w:rFonts w:ascii="Times New Roman" w:hAnsi="Times New Roman"/>
          <w:b/>
          <w:i/>
          <w:color w:val="000000"/>
          <w:sz w:val="20"/>
        </w:rPr>
        <w:t>WuXi Biologics License Agreement</w:t>
      </w:r>
      <w:r>
        <w:rPr>
          <w:rFonts w:ascii="Times New Roman" w:hAnsi="Times New Roman"/>
          <w:color w:val="000000"/>
          <w:sz w:val="20"/>
        </w:rPr>
        <w:t xml:space="preserv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On December 19, 2024, the Company entered into an Intellectual Property License Agreement (the “License Agreement”) with WuXi Biologics (Shanghai FX) Co., Ltd. (“WuXi Biologics”) for exclusive rights to certain patents and know-how pertaining to WuXi Biologics’ preclinical antibody drug conjugate programs leveraging Hangzhou DAC Biotechnology Co., Ltd.’s (“Hangzhou DAC”) linker-payload technology targeting each of the ADC Therapies. Under the License Agreement, the Company paid WuXi Biologics a non-refundable, partial upfront payment of $6.0 million on December 20, 2024. An additional non-refundable, upfront payment of $38.0 million was due within one-hundred twenty (120) days after the effective date of the License Agreement for the rights and licenses granted to the Company by WuXi Biologics and was paid on April 16, 2025.</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accordance with the License Agreement, WuXi Biologics is eligible to receive from the Company (a) up to an aggregate of $265.0 million upon the achievement of certain development milestones, and (b) up to an aggregate of $540.0 million upon the achievement of certain commercial milestones, across all ADC Therapies. WuXi Biologics is also entitled to running royalties ranging from low-single-digit to upper-single-digit percentages of annual net sales of licensed products in the territory on a product-by-product and region-by-region basis from the first commercial sale of the applicable licensed product in a particular region until the date which is the later of (i) expiration of the last to expire valid claim of a license patent in such region covering the sale of such licensed product in such region or (ii) ten years after the first commercial sale of such licensed product in such region.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Each party may terminate the License Agreement in its entirety, or on a program-by-program basis, as applicable, if the other party remains in material breach of the License Agreement following a cure period to remedy the material breach or if the other party is declared insolvent or in similar financial distress. In addition, WuXi Biologics may terminate the License Agreement on a program-by-program basis if the Company does not meet certain development due diligence milestones. The Company may terminate the License Agreement in its entirety, or on a program-by-program basis, as applicable, with or without cause. </w:t>
      </w:r>
    </w:p>
    <w:p>
      <w:pPr>
        <w:pStyle w:val="TextBody"/>
        <w:bidi w:val="0"/>
        <w:spacing w:lineRule="auto" w:line="273"/>
        <w:jc w:val="left"/>
        <w:rPr/>
      </w:pPr>
      <w:r>
        <w:rPr/>
        <w:t> </w:t>
      </w:r>
    </w:p>
    <w:p>
      <w:pPr>
        <w:pStyle w:val="TextBody"/>
        <w:bidi w:val="0"/>
        <w:spacing w:lineRule="auto" w:line="302" w:before="200" w:after="283"/>
        <w:jc w:val="both"/>
        <w:rPr>
          <w:rFonts w:ascii="Times New Roman" w:hAnsi="Times New Roman"/>
          <w:b/>
          <w:color w:val="000000"/>
          <w:sz w:val="20"/>
        </w:rPr>
      </w:pPr>
      <w:r>
        <w:rPr>
          <w:rFonts w:ascii="Times New Roman" w:hAnsi="Times New Roman"/>
          <w:b/>
          <w:color w:val="000000"/>
          <w:sz w:val="20"/>
        </w:rPr>
        <w:t>8. Stockholders’ Equity</w:t>
      </w:r>
    </w:p>
    <w:p>
      <w:pPr>
        <w:pStyle w:val="TextBody"/>
        <w:bidi w:val="0"/>
        <w:spacing w:lineRule="auto" w:line="302" w:before="200" w:after="283"/>
        <w:jc w:val="both"/>
        <w:rPr>
          <w:rFonts w:ascii="Times New Roman" w:hAnsi="Times New Roman"/>
          <w:b/>
          <w:i/>
          <w:color w:val="231F20"/>
          <w:sz w:val="20"/>
        </w:rPr>
      </w:pPr>
      <w:r>
        <w:rPr>
          <w:rFonts w:ascii="Times New Roman" w:hAnsi="Times New Roman"/>
          <w:b/>
          <w:i/>
          <w:color w:val="231F20"/>
          <w:sz w:val="20"/>
        </w:rPr>
        <w:t>Preferred Stock</w:t>
      </w:r>
    </w:p>
    <w:p>
      <w:pPr>
        <w:pStyle w:val="TextBody"/>
        <w:bidi w:val="0"/>
        <w:spacing w:lineRule="auto" w:line="302" w:before="200" w:after="283"/>
        <w:jc w:val="both"/>
        <w:rPr>
          <w:rFonts w:ascii="Times New Roman" w:hAnsi="Times New Roman"/>
          <w:sz w:val="20"/>
        </w:rPr>
      </w:pPr>
      <w:r>
        <w:rPr>
          <w:rFonts w:ascii="Times New Roman" w:hAnsi="Times New Roman"/>
          <w:color w:val="000000"/>
          <w:sz w:val="20"/>
        </w:rPr>
        <w:t xml:space="preserve">As of June 30, 2026 and </w:t>
      </w:r>
      <w:r>
        <w:rPr>
          <w:rFonts w:ascii="Times New Roman" w:hAnsi="Times New Roman"/>
          <w:color w:val="231F20"/>
          <w:sz w:val="20"/>
        </w:rPr>
        <w:t>December 31, 2025</w:t>
      </w:r>
      <w:r>
        <w:rPr>
          <w:rFonts w:ascii="Times New Roman" w:hAnsi="Times New Roman"/>
          <w:color w:val="000000"/>
          <w:sz w:val="20"/>
        </w:rPr>
        <w:t>, under the Company’s certificate of incorporation, as amended and restated, the Company has 10,000,000 shares of preferred stock, par value $0.0001 per share, in authorized capital with no shares outstanding.</w:t>
      </w:r>
      <w:r>
        <w:rPr>
          <w:rFonts w:ascii="Times New Roman" w:hAnsi="Times New Roman"/>
          <w:color w:val="231F20"/>
          <w:sz w:val="20"/>
        </w:rPr>
        <w:t xml:space="preserve"> </w:t>
      </w:r>
    </w:p>
    <w:p>
      <w:pPr>
        <w:pStyle w:val="TextBody"/>
        <w:bidi w:val="0"/>
        <w:spacing w:lineRule="auto" w:line="302" w:before="200" w:after="283"/>
        <w:jc w:val="both"/>
        <w:rPr>
          <w:rFonts w:ascii="Times New Roman" w:hAnsi="Times New Roman"/>
          <w:b/>
          <w:i/>
          <w:color w:val="000000"/>
          <w:sz w:val="20"/>
        </w:rPr>
      </w:pPr>
      <w:r>
        <w:rPr>
          <w:rFonts w:ascii="Times New Roman" w:hAnsi="Times New Roman"/>
          <w:b/>
          <w:i/>
          <w:color w:val="000000"/>
          <w:sz w:val="20"/>
        </w:rPr>
        <w:t>Common Stock and Pre-Funded Warrants</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As of June 30, 2026 and December 31, 2025, the Company had 300,000,000 shares of authorized common stock, par value of $0.0001 per share, under the Company's certificate of incorporation, as amended and restated. As of June 30, 2026 and December 31, 2025, the shares of common stock outstanding were 57,009,010 and 47,145,719, respectively.</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In March 2022, the Company entered into a Sales Agreement (the "Sales Agreement") with Cowen and Company LLC (“Cowen”), with respect to an “at the market offering” program pursuant to which the Company may offer and sell, from time to time at its sole discretion, shares of common stock having aggregate gross proceeds of up to $75.0 million through Cowen as its sales agent. The Company will pay Cowen 3.0% of the aggregate gross proceeds from each sale of shares of common stock under the Sales Agreement. As of June 30, 2026, no shares of common stock had been sold pursuant to the Sales Agreement.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 xml:space="preserve">On September 22, 2022, the Company entered into a securities purchase agreement (the “Purchase Agreement”) for a private investment in public equity financing (the “2022 PIPE Financing”) with certain investors (the “2022 PIPE Investors”) for the sale by the Company of (i) 3,373,526 shares of the Company’s common stock for a price of $12.50 per share and (ii) pre-funded warrants (the "2022 Pre-Funded Warrants") to purchase an aggregate of 2,426,493 shares of the Company's common stock at a purchase price of $12.4999 per 2022 Pre-Funded Warrant. The 2022 PIPE Financing closed on September 26, 2022. Aggregate net proceeds, after deducting certain expenses incurred of $0.3 million related to the issuance of the securities, were $72.2 million. As of June 30, 2026, 2,000,037 of the 2022 Pre-Funded Warrants were still outstanding. </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 xml:space="preserve">On December 19, 2024, the Company entered into the Subscription Agreement for a private investment in public equity financing (the "2024 PIPE Financing") with certain investors (the "2024 PIPE Investors"), pursuant to which the Company agreed to sell to the 2024 PIPE Investors (i) 21,592,000 shares of the Company’s common stock, par value $0.0001 per share, at a purchase price of $2.40 per share, and (ii) pre-funded warrants to purchase an aggregate of 20,076,500 shares of the Company's common stock (the "2024 Pre-Funded Warrants"), at a purchase price of $2.3999 per 2024 Pre-Funded Warrant, for aggregate net proceeds of $94.4 million, after deducting certain expenses incurred of $5.6 million related to the issuance of shares. The 2024 PIPE Financing was conditioned upon the Company's shareholders approving the 2024 PIPE Financing and closed on March 4, 2025 after such approval was obtained. As of June 30, 2026, 16,866,574 of the 2024 Pre-Funded Warrants were outstanding.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On May 13, 2026, the Company entered into a securities purchase agreement for a private investment in public equity financing (the "2026 PIPE Financing") with certain investors (the "2026 PIPE Investors"), pursuant to which the Company agreed to sell to the 2026 PIPE Investors (i) 4,330,866 shares of the Company’s common stock, par value $0.0001 per share, at a purchase price of $3.92 per share, and (ii) pre-funded warrants to purchase an aggregate of 17,991,021 shares of the Company's common stock (the "2026 Pre-Funded Warrants" and together with the 2022 Pre-Funded Warrants and 2024 Pre-Funded Warrants, the "Pre-Funded Warrants"), at a purchase price of $3.9199 per 2026 Pre-Funded Warrant, for aggregate net proceeds of $81.8 million, after deducting certain expenses incurred of $5.7 million related to the issuance of shares. As of June 30, 2026, all 17,991,021 of the 2026 Pre-Funded Warrants were outstanding.</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 xml:space="preserve">For each of the 2022 PIPE Financing, 2024 PIPE Financing and 2026 PIPE Financing, the Pre-Funded Warrants are exercisable at an exercise price of $0.0001 per share of the Company's common stock and will be exercisable until exercised in full. The holders of such Pre-Funded Warrants may not exercise a Pre-Funded Warrant if the holder, together with its affiliates, would beneficially own more than 4.99% or 9.99%, at the election of the holder, of the number of shares of the Company's common stock outstanding immediately after giving effect to such exercise. The holders of such Pre-Funded Warrants may increase or decrease such percentages not in excess of 19.99% by providing at least 61 days’ prior notice to the Company. </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The Pre-Funded Warrants are indexed to the Company's common stock and meet the conditions for equity classification in accordance with ASC 815-40. As such, the Pre-Funded Warrants are classified as additional paid-in capital within the stockholders' equity on the Company's consolidated balance sheets.</w:t>
      </w:r>
    </w:p>
    <w:p>
      <w:pPr>
        <w:pStyle w:val="TextBody"/>
        <w:bidi w:val="0"/>
        <w:spacing w:lineRule="auto" w:line="331" w:before="200" w:after="283"/>
        <w:jc w:val="both"/>
        <w:rPr>
          <w:rFonts w:ascii="Times New Roman" w:hAnsi="Times New Roman"/>
          <w:sz w:val="20"/>
        </w:rPr>
      </w:pPr>
      <w:r>
        <w:rPr>
          <w:rFonts w:ascii="Times New Roman" w:hAnsi="Times New Roman"/>
          <w:i/>
          <w:color w:val="000000"/>
          <w:sz w:val="20"/>
        </w:rPr>
        <w:t>Dividends</w:t>
      </w:r>
      <w:r>
        <w:rPr>
          <w:rFonts w:ascii="Times New Roman" w:hAnsi="Times New Roman"/>
          <w:color w:val="000000"/>
          <w:sz w:val="20"/>
        </w:rPr>
        <w:t xml:space="preserv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holders of common stock are entitled to receive cash dividends, if and when declared by the board of directors of the Company (the “board of directors”). Since the Company’s inception, no cash dividends have been declared or paid to the holders of common stock.</w:t>
      </w:r>
    </w:p>
    <w:p>
      <w:pPr>
        <w:pStyle w:val="TextBody"/>
        <w:bidi w:val="0"/>
        <w:spacing w:lineRule="auto" w:line="331" w:before="200" w:after="283"/>
        <w:jc w:val="both"/>
        <w:rPr>
          <w:rFonts w:ascii="Times New Roman" w:hAnsi="Times New Roman"/>
          <w:sz w:val="20"/>
        </w:rPr>
      </w:pPr>
      <w:r>
        <w:rPr>
          <w:rFonts w:ascii="Times New Roman" w:hAnsi="Times New Roman"/>
          <w:i/>
          <w:color w:val="000000"/>
          <w:sz w:val="20"/>
        </w:rPr>
        <w:t>Liquidation</w:t>
      </w:r>
      <w:r>
        <w:rPr>
          <w:rFonts w:ascii="Times New Roman" w:hAnsi="Times New Roman"/>
          <w:color w:val="000000"/>
          <w:sz w:val="20"/>
        </w:rPr>
        <w:t xml:space="preserv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In the event of any voluntary or involuntary liquidation, dissolution, or winding-up of the Company, the holders of common stock are entitled to share ratably in the Company’s assets. </w:t>
      </w:r>
    </w:p>
    <w:p>
      <w:pPr>
        <w:pStyle w:val="TextBody"/>
        <w:bidi w:val="0"/>
        <w:spacing w:lineRule="auto" w:line="331" w:before="200" w:after="283"/>
        <w:jc w:val="both"/>
        <w:rPr>
          <w:rFonts w:ascii="Times New Roman" w:hAnsi="Times New Roman"/>
          <w:sz w:val="20"/>
        </w:rPr>
      </w:pPr>
      <w:r>
        <w:rPr>
          <w:rFonts w:ascii="Times New Roman" w:hAnsi="Times New Roman"/>
          <w:i/>
          <w:color w:val="000000"/>
          <w:sz w:val="20"/>
        </w:rPr>
        <w:t>Voting</w:t>
      </w:r>
      <w:r>
        <w:rPr>
          <w:rFonts w:ascii="Times New Roman" w:hAnsi="Times New Roman"/>
          <w:color w:val="000000"/>
          <w:sz w:val="20"/>
        </w:rPr>
        <w:t xml:space="preserv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holders of common stock are entitled to one vote at all meetings of stockholders for each share of common stock held by such stockholders as of the record date.</w:t>
      </w:r>
    </w:p>
    <w:p>
      <w:pPr>
        <w:pStyle w:val="TextBody"/>
        <w:bidi w:val="0"/>
        <w:spacing w:lineRule="auto" w:line="331" w:before="200" w:after="283"/>
        <w:jc w:val="left"/>
        <w:rPr>
          <w:rFonts w:ascii="Times New Roman" w:hAnsi="Times New Roman"/>
          <w:sz w:val="20"/>
        </w:rPr>
      </w:pPr>
      <w:r>
        <w:rPr>
          <w:rFonts w:ascii="Times New Roman" w:hAnsi="Times New Roman"/>
          <w:b/>
          <w:color w:val="000000"/>
          <w:sz w:val="20"/>
        </w:rPr>
        <w:t>9. Share-Based Compensation</w:t>
      </w:r>
      <w:r>
        <w:rPr>
          <w:rFonts w:ascii="Times New Roman" w:hAnsi="Times New Roman"/>
          <w:color w:val="000000"/>
          <w:sz w:val="20"/>
        </w:rPr>
        <w:t xml:space="preserve"> </w:t>
      </w:r>
    </w:p>
    <w:p>
      <w:pPr>
        <w:pStyle w:val="TextBody"/>
        <w:bidi w:val="0"/>
        <w:spacing w:lineRule="auto" w:line="331" w:before="200" w:after="283"/>
        <w:jc w:val="left"/>
        <w:rPr>
          <w:rFonts w:ascii="Times New Roman" w:hAnsi="Times New Roman"/>
          <w:b/>
          <w:i/>
          <w:color w:val="000000"/>
          <w:sz w:val="20"/>
        </w:rPr>
      </w:pPr>
      <w:r>
        <w:rPr>
          <w:rFonts w:ascii="Times New Roman" w:hAnsi="Times New Roman"/>
          <w:b/>
          <w:i/>
          <w:color w:val="000000"/>
          <w:sz w:val="20"/>
        </w:rPr>
        <w:t>2014 Plan (as amended and restated in February 2017, the “Private Aadi Plan”)</w:t>
      </w:r>
    </w:p>
    <w:p>
      <w:pPr>
        <w:pStyle w:val="TextBody"/>
        <w:bidi w:val="0"/>
        <w:spacing w:lineRule="auto" w:line="331" w:before="200" w:after="283"/>
        <w:jc w:val="both"/>
        <w:rPr>
          <w:rFonts w:ascii="Times New Roman" w:hAnsi="Times New Roman"/>
          <w:sz w:val="20"/>
        </w:rPr>
      </w:pPr>
      <w:r>
        <w:rPr>
          <w:rFonts w:ascii="Times New Roman" w:hAnsi="Times New Roman"/>
          <w:color w:val="000000"/>
          <w:sz w:val="20"/>
        </w:rPr>
        <w:t xml:space="preserve">In connection with the Reverse Merger, the Company assumed the Private Aadi Plan, which was amended and restated in February 2017, and the issued and outstanding stock options under the Private Aadi Plan (the Private Aadi common stock underlying the awards was adjusted for shares of the Company’s common stock pursuant to the Merger Agreement). </w:t>
      </w:r>
      <w:r>
        <w:rPr>
          <w:rFonts w:ascii="Times New Roman" w:hAnsi="Times New Roman"/>
          <w:color w:val="231F20"/>
          <w:sz w:val="20"/>
        </w:rPr>
        <w:t xml:space="preserve">The Private Aadi Plan allowed for the grant of incentive stock options, non-statutory stock options, stock appreciation rights, restricted stock unit awards and other stock awards. In connection with the closing of the Reverse Merger and the adoption of the 2021 Plan (as defined below), no further awards will be issued under the Private Aadi Plan. </w:t>
      </w:r>
    </w:p>
    <w:p>
      <w:pPr>
        <w:pStyle w:val="TextBody"/>
        <w:bidi w:val="0"/>
        <w:spacing w:lineRule="auto" w:line="331" w:before="200" w:after="283"/>
        <w:jc w:val="both"/>
        <w:rPr>
          <w:rFonts w:ascii="Times New Roman" w:hAnsi="Times New Roman"/>
          <w:color w:val="231F20"/>
          <w:sz w:val="20"/>
        </w:rPr>
      </w:pPr>
      <w:r>
        <w:rPr>
          <w:rFonts w:ascii="Times New Roman" w:hAnsi="Times New Roman"/>
          <w:color w:val="231F20"/>
          <w:sz w:val="20"/>
        </w:rPr>
        <w:t xml:space="preserve">The options that are granted from the Private Aadi Plan are exercisable at various dates as determined upon grant and will expire no more than ten years from their date of grant. The Private Aadi Plan stock options generally vest over a four-year term. </w:t>
      </w:r>
    </w:p>
    <w:p>
      <w:pPr>
        <w:pStyle w:val="TextBody"/>
        <w:bidi w:val="0"/>
        <w:spacing w:lineRule="auto" w:line="331" w:before="200" w:after="283"/>
        <w:jc w:val="left"/>
        <w:rPr>
          <w:rFonts w:ascii="Times New Roman" w:hAnsi="Times New Roman"/>
          <w:b/>
          <w:i/>
          <w:color w:val="000000"/>
          <w:sz w:val="20"/>
        </w:rPr>
      </w:pPr>
      <w:r>
        <w:rPr>
          <w:rFonts w:ascii="Times New Roman" w:hAnsi="Times New Roman"/>
          <w:b/>
          <w:i/>
          <w:color w:val="000000"/>
          <w:sz w:val="20"/>
        </w:rPr>
        <w:t>2011 Plan and 2017 Plan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In connection with the closing of the Reverse Merger, the Company assumed the Aerpio 2011 Equity Incentive Plan (the “2011 Plan”) and the Aerpio 2017 Stock Option and Incentive Plan (the “2017 Plan,” and together with the 2011 Plan, the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pPr>
      <w:r>
        <w:rPr>
          <w:color w:val="000000"/>
        </w:rPr>
        <w:t>“</w:t>
      </w:r>
      <w:r>
        <w:rPr>
          <w:rFonts w:ascii="Times New Roman" w:hAnsi="Times New Roman"/>
          <w:color w:val="000000"/>
          <w:sz w:val="20"/>
        </w:rPr>
        <w:t xml:space="preserve">Prior Plans”). No new awards will be granted under the Prior Plans effective as of the closing of the Reverse Merger and the adoption of the 2021 Plan (as defined below). </w:t>
      </w:r>
    </w:p>
    <w:p>
      <w:pPr>
        <w:pStyle w:val="TextBody"/>
        <w:bidi w:val="0"/>
        <w:spacing w:lineRule="auto" w:line="331" w:before="200" w:after="283"/>
        <w:jc w:val="left"/>
        <w:rPr>
          <w:rFonts w:ascii="Times New Roman" w:hAnsi="Times New Roman"/>
          <w:b/>
          <w:i/>
          <w:color w:val="000000"/>
          <w:sz w:val="20"/>
        </w:rPr>
      </w:pPr>
      <w:r>
        <w:rPr>
          <w:rFonts w:ascii="Times New Roman" w:hAnsi="Times New Roman"/>
          <w:b/>
          <w:i/>
          <w:color w:val="000000"/>
          <w:sz w:val="20"/>
        </w:rPr>
        <w:t>2021 Plan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At the closing of the Reverse Merger, the Company adopted the Aadi Bioscience, Inc. 2021 Equity Incentive Plan, which is now named the Whitehawk Therapeutics, Inc. 2021 Equity Incentive Plan (the “2021 Plan”), which permits the award of stock options, stock appreciation rights, restricted stock, restricted stock units, performance units and performance grants to employees, members of the board of directors, and outside consultants.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Subject to the adjustment provisions contained in the 2021 Plan and the evergreen provision described below, a total of 2,070,784 shares of common stock were initially reserved for issuance pursuant to the 2021 Plan. In addition, the shares reserved for issuance under the 2021 Plan include any shares of common stock (i) subject to awards of stock options or other awards granted under the Prior Plans that expire or otherwise terminate without having been exercised in full and shares of common stock granted under the Prior Plans that are forfeited or repurchased by the Company, and (ii) any shares of common stock subject to stock options or similar awards granted under the Private Aadi Plan that were assumed in the Reverse Merger (provided that the maximum number of shares that may be added to the 2021 Plan pursuant to this provision is 764,154 shares).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From the adoption of the 2021 Plan until February 28, 2025, the number of shares available for issuance under the 2021 Plan included an annual increase, or the evergreen feature, on the first day of each of the Company’s fiscal years, beginning with the Company’s fiscal year 2022, equal to the least of: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pPr>
      <w:r>
        <w:rPr>
          <w:rFonts w:ascii="Times New Roman" w:hAnsi="Times New Roman"/>
          <w:color w:val="000000"/>
          <w:sz w:val="20"/>
        </w:rPr>
        <w:t>2,070,784</w:t>
      </w:r>
      <w:r>
        <w:rPr>
          <w:color w:val="000000"/>
        </w:rPr>
        <w:t xml:space="preserve"> </w:t>
      </w:r>
      <w:r>
        <w:rPr>
          <w:rFonts w:ascii="Times New Roman" w:hAnsi="Times New Roman"/>
          <w:color w:val="000000"/>
          <w:sz w:val="20"/>
        </w:rPr>
        <w:t xml:space="preserve">shares of common stock;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a number of shares equal to 4% of the outstanding shares of common stock on the last day of the immediately preceding fiscal year; or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such number of shares as the board of directors or its designated committee may determine.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On February 28, 2025, the Company’s stockholders approved the amendment and restatement of the 2021 Plan to (i) increase the number of shares available for future grant under the 2021 Plan from 2,000,284 shares to 8,300,284 shares and (ii) modify the 2021 Plan’s default annual automatic share reserve increase occurring on January 1 of each year to be equal to the least of 8,300,284 shares, 5% of outstanding shares on the last day of the immediately preceding fiscal year, or such number of shares as the board of directors or its designated committee may determine. Upon stockholder approval, such amendment and restatement of the 2021 Plan became effective.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As a result of the evergreen increase, a total of 2,357,286 shares of common stock were added to the 2021 Plan on January 1, 2026 and 987,228 shares of common stock were added to the 2021 Plan on January 1, 2025.</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Shares issuable under the 2021 Plan are authorized, but unissued, or reacquired shares of common stock. If an award expires or becomes unexercisable without having been exercised in full, is surrendered pursuant to an exchange program, or, with respect to restricted stock, restricted stock units, performance units or performance shares, is forfeited to or repurchased by the combined company due to failure to vest, the unpurchased shares (or for awards other than stock options or stock appreciation rights, the forfeited or repurchased shares) will become available for future grant or sale under the 2021 Plan (unless the 2021 Plan has terminated). </w:t>
      </w:r>
    </w:p>
    <w:p>
      <w:pPr>
        <w:pStyle w:val="TextBody"/>
        <w:bidi w:val="0"/>
        <w:spacing w:lineRule="auto" w:line="331" w:before="200" w:after="283"/>
        <w:jc w:val="left"/>
        <w:rPr>
          <w:rFonts w:ascii="Times New Roman" w:hAnsi="Times New Roman"/>
          <w:b/>
          <w:i/>
          <w:color w:val="000000"/>
          <w:sz w:val="20"/>
        </w:rPr>
      </w:pPr>
      <w:r>
        <w:rPr>
          <w:rFonts w:ascii="Times New Roman" w:hAnsi="Times New Roman"/>
          <w:b/>
          <w:i/>
          <w:color w:val="000000"/>
          <w:sz w:val="20"/>
        </w:rPr>
        <w:t>2023 Inducement Equity Incentive Plan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On September 27, 2023 the Company adopted the 2023 Inducement Equity Incentive Plan (the “Inducement Plan”), pursuant to which the Company may from time to time make equity grants to new employees as a material inducement to their employment. The Company reserved 600,000 shares of common stock for issuance under the Inducement Plan. The only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persons eligible to receive awards under the Inducement Plan are individuals who are new employees and satisfy the standards for inducement grants under applicable Nasdaq listing rules.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As of June 30, 2026, 105,469, 15,036, 10,672,169, and 490,000 shares were outstanding under the Private Aadi Plan, 2017 Plan, 2021 Plan, and 2023 Inducement Plan, respectively.</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The following table summarizes the stock option activity during the six months ended June 30, 2026: </w:t>
      </w:r>
    </w:p>
    <w:p>
      <w:pPr>
        <w:pStyle w:val="TextBody"/>
        <w:bidi w:val="0"/>
        <w:spacing w:lineRule="auto" w:line="331"/>
        <w:jc w:val="both"/>
        <w:rPr/>
      </w:pPr>
      <w:r>
        <w:rPr/>
        <w:t> </w:t>
      </w:r>
    </w:p>
    <w:tbl>
      <w:tblPr>
        <w:tblW w:w="9518" w:type="dxa"/>
        <w:jc w:val="left"/>
        <w:tblInd w:w="0" w:type="dxa"/>
        <w:tblLayout w:type="fixed"/>
        <w:tblCellMar>
          <w:top w:w="28" w:type="dxa"/>
          <w:left w:w="28" w:type="dxa"/>
          <w:bottom w:w="28" w:type="dxa"/>
          <w:right w:w="28" w:type="dxa"/>
        </w:tblCellMar>
      </w:tblPr>
      <w:tblGrid>
        <w:gridCol w:w="3991"/>
        <w:gridCol w:w="146"/>
        <w:gridCol w:w="146"/>
        <w:gridCol w:w="1036"/>
        <w:gridCol w:w="166"/>
        <w:gridCol w:w="146"/>
        <w:gridCol w:w="248"/>
        <w:gridCol w:w="548"/>
        <w:gridCol w:w="146"/>
        <w:gridCol w:w="146"/>
        <w:gridCol w:w="236"/>
        <w:gridCol w:w="755"/>
        <w:gridCol w:w="146"/>
        <w:gridCol w:w="146"/>
        <w:gridCol w:w="267"/>
        <w:gridCol w:w="858"/>
        <w:gridCol w:w="3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Stock</w:t>
              <w:br/>
              <w:t>Option</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8,120,654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2,642</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3,070,847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(24,286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11,125,676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17,066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Options 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4,761,919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6,039</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Vested and expected to vest as of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11,125,676</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8.29</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17,066</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both"/>
        <w:rPr/>
      </w:pPr>
      <w:r>
        <w:rPr/>
        <w:t> </w:t>
      </w:r>
    </w:p>
    <w:p>
      <w:pPr>
        <w:pStyle w:val="TextBody"/>
        <w:bidi w:val="0"/>
        <w:spacing w:lineRule="auto" w:line="331"/>
        <w:jc w:val="both"/>
        <w:rPr>
          <w:rFonts w:ascii="Times New Roman" w:hAnsi="Times New Roman"/>
          <w:color w:val="000000"/>
          <w:sz w:val="20"/>
        </w:rPr>
      </w:pPr>
      <w:r>
        <w:rPr>
          <w:rFonts w:ascii="Times New Roman" w:hAnsi="Times New Roman"/>
          <w:color w:val="000000"/>
          <w:sz w:val="20"/>
        </w:rPr>
        <w:t>As of June 30, 2026, there was $12.9 million of unrecognized compensation cost related to stock options, which is expected to be recognized over a weighted average period of 1.59 years.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total intrinsic value of the options exercised during the three months ended June 30, 2026, and 2025, was $48.7 thousand and $0, respectively. The total intrinsic value of the options exercised during the six months ended June 30, 2026 and 2025 was $48.7 thousand and $43.6 thousand, respectively.</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As of June 30, 2026, and December 31, 2025, 1,971,797 and 2,520,585 shares were reserved for future awards under the 2021 Plan, respectively. As of June 30, 2026 and December 31, 2025, 110,000 shares were reserved for future awards under the 2023 Inducement Plan.</w:t>
      </w:r>
    </w:p>
    <w:p>
      <w:pPr>
        <w:pStyle w:val="TextBody"/>
        <w:bidi w:val="0"/>
        <w:spacing w:lineRule="auto" w:line="331" w:before="20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Restricted stock consists of restricted stock unit awards ("RSUs") which have been granted to employees. The value of an RSU award is based on the Company’s stock price on the date of grant. Employee grants vest over one to four years. Forfeitures of RSUs are recognized as they occur. The shares underlying the RSU awards are not issued until the RSUs vest. Upon vesting, each RSU converts into one share of the Company’s common stock.</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Activity with respect to the Company’s restricted stock units during the six months ended June 30, 2026 is as follows:</w:t>
      </w:r>
    </w:p>
    <w:p>
      <w:pPr>
        <w:pStyle w:val="TextBody"/>
        <w:bidi w:val="0"/>
        <w:spacing w:lineRule="auto" w:line="331"/>
        <w:jc w:val="both"/>
        <w:rPr/>
      </w:pPr>
      <w:r>
        <w:rPr/>
        <w:t> </w:t>
      </w:r>
    </w:p>
    <w:tbl>
      <w:tblPr>
        <w:tblW w:w="6787" w:type="dxa"/>
        <w:jc w:val="left"/>
        <w:tblInd w:w="0" w:type="dxa"/>
        <w:tblLayout w:type="fixed"/>
        <w:tblCellMar>
          <w:top w:w="28" w:type="dxa"/>
          <w:left w:w="28" w:type="dxa"/>
          <w:bottom w:w="28" w:type="dxa"/>
          <w:right w:w="28" w:type="dxa"/>
        </w:tblCellMar>
      </w:tblPr>
      <w:tblGrid>
        <w:gridCol w:w="3346"/>
        <w:gridCol w:w="146"/>
        <w:gridCol w:w="146"/>
        <w:gridCol w:w="991"/>
        <w:gridCol w:w="166"/>
        <w:gridCol w:w="146"/>
        <w:gridCol w:w="453"/>
        <w:gridCol w:w="1002"/>
        <w:gridCol w:w="3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Weighted Average</w:t>
              <w:br/>
              <w:t>Grant Date 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Nonvested shares at December 31, 2025</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2,452,690</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1.73</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Vested/Issued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(2,282,458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1.70</w:t>
            </w:r>
          </w:p>
        </w:tc>
        <w:tc>
          <w:tcPr>
            <w:tcW w:w="3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Nonvested shares at June 30, 2026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156,998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both"/>
        <w:rPr/>
      </w:pPr>
      <w:r>
        <w:rPr/>
        <w:t> </w:t>
      </w:r>
    </w:p>
    <w:p>
      <w:pPr>
        <w:pStyle w:val="TextBody"/>
        <w:bidi w:val="0"/>
        <w:spacing w:lineRule="auto" w:line="331"/>
        <w:jc w:val="both"/>
        <w:rPr>
          <w:rFonts w:ascii="Times New Roman" w:hAnsi="Times New Roman"/>
          <w:color w:val="000000"/>
          <w:sz w:val="20"/>
        </w:rPr>
      </w:pPr>
      <w:r>
        <w:rPr>
          <w:rFonts w:ascii="Times New Roman" w:hAnsi="Times New Roman"/>
          <w:color w:val="000000"/>
          <w:sz w:val="20"/>
        </w:rPr>
        <w:t xml:space="preserve">As of June 30, 2026, there was $0.2 million of unrecognized compensation cost related to restricted stock units, which is expected to be recognized over a weighted average period of 1.06 years.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sz w:val="20"/>
        </w:rPr>
      </w:pPr>
      <w:r>
        <w:rPr>
          <w:rFonts w:ascii="Times New Roman" w:hAnsi="Times New Roman"/>
          <w:b/>
          <w:i/>
          <w:color w:val="000000"/>
          <w:sz w:val="20"/>
        </w:rPr>
        <w:t>Compensation Expense Summary</w:t>
      </w:r>
      <w:r>
        <w:rPr>
          <w:rFonts w:ascii="Times New Roman" w:hAnsi="Times New Roman"/>
          <w:color w:val="000000"/>
          <w:sz w:val="20"/>
        </w:rPr>
        <w:t xml:space="preserv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The Company recognized the following compensation cost related to employee and non-employee share-based compensation activity for the periods presented (in thousands): </w:t>
      </w:r>
    </w:p>
    <w:p>
      <w:pPr>
        <w:pStyle w:val="TextBody"/>
        <w:bidi w:val="0"/>
        <w:spacing w:lineRule="auto" w:line="331"/>
        <w:jc w:val="both"/>
        <w:rPr/>
      </w:pPr>
      <w:r>
        <w:rPr/>
        <w:t> </w:t>
      </w:r>
    </w:p>
    <w:tbl>
      <w:tblPr>
        <w:tblW w:w="7917" w:type="dxa"/>
        <w:jc w:val="left"/>
        <w:tblInd w:w="0" w:type="dxa"/>
        <w:tblLayout w:type="fixed"/>
        <w:tblCellMar>
          <w:top w:w="28" w:type="dxa"/>
          <w:left w:w="28" w:type="dxa"/>
          <w:bottom w:w="28" w:type="dxa"/>
          <w:right w:w="28" w:type="dxa"/>
        </w:tblCellMar>
      </w:tblPr>
      <w:tblGrid>
        <w:gridCol w:w="2956"/>
        <w:gridCol w:w="146"/>
        <w:gridCol w:w="257"/>
        <w:gridCol w:w="697"/>
        <w:gridCol w:w="178"/>
        <w:gridCol w:w="178"/>
        <w:gridCol w:w="257"/>
        <w:gridCol w:w="697"/>
        <w:gridCol w:w="146"/>
        <w:gridCol w:w="146"/>
        <w:gridCol w:w="235"/>
        <w:gridCol w:w="637"/>
        <w:gridCol w:w="162"/>
        <w:gridCol w:w="162"/>
        <w:gridCol w:w="235"/>
        <w:gridCol w:w="637"/>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869</w:t>
            </w:r>
          </w:p>
        </w:tc>
        <w:tc>
          <w:tcPr>
            <w:tcW w:w="17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2,156</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2,328</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3,140</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651</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1,385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1,520</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3,713</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both"/>
        <w:rPr/>
      </w:pPr>
      <w:r>
        <w:rPr/>
        <w:t> </w:t>
      </w:r>
    </w:p>
    <w:p>
      <w:pPr>
        <w:pStyle w:val="TextBody"/>
        <w:bidi w:val="0"/>
        <w:spacing w:lineRule="auto" w:line="331"/>
        <w:jc w:val="both"/>
        <w:rPr>
          <w:rFonts w:ascii="Times New Roman" w:hAnsi="Times New Roman"/>
          <w:color w:val="000000"/>
          <w:sz w:val="20"/>
        </w:rPr>
      </w:pPr>
      <w:r>
        <w:rPr>
          <w:rFonts w:ascii="Times New Roman" w:hAnsi="Times New Roman"/>
          <w:color w:val="000000"/>
          <w:sz w:val="20"/>
        </w:rPr>
        <w:t>The Company uses the Black-Scholes option pricing model to determine the estimated fair value for share-based option awards. Option pricing and models require the input of various assumptions, including the option’s expected life, expected dividend yield, price volatility and risk-free interest rate of the underlying stock. Forfeitures are recognized and accounted for as they occur.</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The calculation was based on the following assumptions: </w:t>
      </w:r>
    </w:p>
    <w:p>
      <w:pPr>
        <w:pStyle w:val="TextBody"/>
        <w:bidi w:val="0"/>
        <w:spacing w:lineRule="auto" w:line="331"/>
        <w:jc w:val="left"/>
        <w:rPr/>
      </w:pPr>
      <w:r>
        <w:rPr/>
        <w:t> </w:t>
      </w:r>
    </w:p>
    <w:tbl>
      <w:tblPr>
        <w:tblW w:w="10205" w:type="dxa"/>
        <w:jc w:val="left"/>
        <w:tblInd w:w="0" w:type="dxa"/>
        <w:tblLayout w:type="fixed"/>
        <w:tblCellMar>
          <w:top w:w="28" w:type="dxa"/>
          <w:left w:w="28" w:type="dxa"/>
          <w:bottom w:w="28" w:type="dxa"/>
          <w:right w:w="28" w:type="dxa"/>
        </w:tblCellMar>
      </w:tblPr>
      <w:tblGrid>
        <w:gridCol w:w="3367"/>
        <w:gridCol w:w="146"/>
        <w:gridCol w:w="471"/>
        <w:gridCol w:w="914"/>
        <w:gridCol w:w="187"/>
        <w:gridCol w:w="187"/>
        <w:gridCol w:w="471"/>
        <w:gridCol w:w="914"/>
        <w:gridCol w:w="146"/>
        <w:gridCol w:w="146"/>
        <w:gridCol w:w="471"/>
        <w:gridCol w:w="914"/>
        <w:gridCol w:w="174"/>
        <w:gridCol w:w="174"/>
        <w:gridCol w:w="422"/>
        <w:gridCol w:w="905"/>
        <w:gridCol w:w="196"/>
      </w:tblGrid>
      <w:tr>
        <w:trPr/>
        <w:tc>
          <w:tcPr>
            <w:tcW w:w="33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14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3060"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3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Weighted average grant date fair value (per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2.60</w:t>
            </w:r>
          </w:p>
        </w:tc>
        <w:tc>
          <w:tcPr>
            <w:tcW w:w="18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2.59</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1.85</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4.06% - 4.25%</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3.97% - 4.19%</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3.72% - 4.25%</w:t>
            </w:r>
          </w:p>
        </w:tc>
        <w:tc>
          <w:tcPr>
            <w:tcW w:w="1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3.97% - 4.19%</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3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8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79.13% - 81.53%</w:t>
            </w:r>
          </w:p>
        </w:tc>
        <w:tc>
          <w:tcPr>
            <w:tcW w:w="18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8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84.03% - 84.81%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8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79.13% - 82.12%</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84.03% - 89.48%</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5.50 - 6.08</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5.49 - 6.08</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5.50 - 6.08</w:t>
            </w:r>
          </w:p>
        </w:tc>
        <w:tc>
          <w:tcPr>
            <w:tcW w:w="17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5.49 - 6.08</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36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8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Company determines the assumptions used in the option pricing model in the following manner:</w:t>
      </w:r>
    </w:p>
    <w:p>
      <w:pPr>
        <w:pStyle w:val="TextBody"/>
        <w:bidi w:val="0"/>
        <w:spacing w:lineRule="auto" w:line="331" w:before="200" w:after="283"/>
        <w:jc w:val="both"/>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 – For the determination of the risk-free interest rates, the Company utilizes the U.S. Treasury yield curve for instruments in effect at the time of measurement with a term commensurate with the expected term assumption.</w:t>
      </w:r>
    </w:p>
    <w:p>
      <w:pPr>
        <w:pStyle w:val="TextBody"/>
        <w:bidi w:val="0"/>
        <w:spacing w:lineRule="auto" w:line="331" w:before="200" w:after="283"/>
        <w:jc w:val="both"/>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 The Company based its estimate of expected volatility on a weighted average using the Company's limited historical stock price volatility data, supplemented with the estimated and expected volatilities of a guideline group of publicly traded companies. For these analyses, the Company selected companies with comparable characteristics including enterprise value, risk profiles, and with historical share price information sufficient to meet the expected life of the share-based awards. The Company computes the historical volatility data using the daily closing prices for the selected companies’ shares during the equivalent period of the calculated expected term of its share-based awards. The Company will continue to apply this process until a sufficient amount of historical information regarding the volatility of its own stock price becomes available.</w:t>
      </w:r>
    </w:p>
    <w:p>
      <w:pPr>
        <w:pStyle w:val="TextBody"/>
        <w:bidi w:val="0"/>
        <w:spacing w:lineRule="auto" w:line="331" w:before="200" w:after="283"/>
        <w:jc w:val="both"/>
        <w:rPr>
          <w:rFonts w:ascii="Times New Roman" w:hAnsi="Times New Roman"/>
          <w:sz w:val="20"/>
        </w:rPr>
      </w:pPr>
      <w:r>
        <w:rPr>
          <w:rFonts w:ascii="Times New Roman" w:hAnsi="Times New Roman"/>
          <w:i/>
          <w:color w:val="000000"/>
          <w:sz w:val="20"/>
        </w:rPr>
        <w:t>Expected Dividend</w:t>
      </w:r>
      <w:r>
        <w:rPr>
          <w:rFonts w:ascii="Times New Roman" w:hAnsi="Times New Roman"/>
          <w:color w:val="000000"/>
          <w:sz w:val="20"/>
        </w:rPr>
        <w:t xml:space="preserve"> – The expected dividend yield is assumed to be zero because the Company has never paid dividends and does not have current plans to pay any dividends on its common stock.</w:t>
      </w:r>
    </w:p>
    <w:p>
      <w:pPr>
        <w:pStyle w:val="TextBody"/>
        <w:bidi w:val="0"/>
        <w:spacing w:lineRule="auto" w:line="331" w:before="200" w:after="283"/>
        <w:jc w:val="both"/>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 – The Company estimates the expected term of its stock options granted to employees and non-employee directors using the simplified method, whereby, the expected term equals the average of the vesting term and the original contractual term of the option. The Company utilizes this method since it does not have sufficient historical exercise data to provide a reasonable basis upon which to estimate the expected term.</w:t>
      </w:r>
    </w:p>
    <w:p>
      <w:pPr>
        <w:pStyle w:val="TextBody"/>
        <w:bidi w:val="0"/>
        <w:spacing w:lineRule="auto" w:line="331" w:before="200" w:after="283"/>
        <w:jc w:val="both"/>
        <w:rPr>
          <w:rFonts w:ascii="Times New Roman" w:hAnsi="Times New Roman"/>
          <w:b/>
          <w:color w:val="000000"/>
          <w:sz w:val="20"/>
        </w:rPr>
      </w:pPr>
      <w:r>
        <w:rPr>
          <w:rFonts w:ascii="Times New Roman" w:hAnsi="Times New Roman"/>
          <w:b/>
          <w:color w:val="000000"/>
          <w:sz w:val="20"/>
        </w:rPr>
        <w:t>10. Employee Stock Purchase Plan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On August 17, 2021, a special meeting of the Company’s stockholders was held to approve the Reverse Merger and related matters, at which the Company's stockholders considered and approved the Company’s 2021 ESPP which permits participants to contribute up to 15% of their eligible compensation during defined rolling six-month offering periods to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purchase the Company's common stock. The purchase price of the shares will be 85% of the lower of the fair market value of the Company's common stock on the first day of trading of the offering period or on the applicable purchase date. Upon approval of the 2021 ESPP by the stockholders, Aerpio’s Amended and Restated 2017 Employee Stock Purchase Plan terminated. An aggregate of 519,563 shares of common stock was initially reserved for issuance under the 2021 ESPP. The number of shares of common stock available for issuance under the 2021 ESPP is automatically increased on the first day of each fiscal year beginning with the 2022 fiscal year in an amount equal to the least of:</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310,617 shares of common stock;</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 xml:space="preserve">one percent (1%) of the outstanding shares of all classes of common stock on the last day of the immediately preceding fiscal year; or </w:t>
      </w:r>
    </w:p>
    <w:p>
      <w:pPr>
        <w:pStyle w:val="TextBody"/>
        <w:bidi w:val="0"/>
        <w:spacing w:lineRule="auto" w:line="273" w:before="120" w:after="283"/>
        <w:jc w:val="both"/>
        <w:rPr>
          <w:color w:val="000000"/>
        </w:rPr>
      </w:pPr>
      <w:r>
        <w:rPr>
          <w:color w:val="000000"/>
        </w:rPr>
        <w:t>•</w:t>
      </w:r>
    </w:p>
    <w:p>
      <w:pPr>
        <w:pStyle w:val="TextBody"/>
        <w:bidi w:val="0"/>
        <w:spacing w:lineRule="auto" w:line="273" w:before="120" w:after="283"/>
        <w:jc w:val="both"/>
        <w:rPr>
          <w:rFonts w:ascii="Times New Roman" w:hAnsi="Times New Roman"/>
          <w:color w:val="000000"/>
          <w:sz w:val="20"/>
        </w:rPr>
      </w:pPr>
      <w:r>
        <w:rPr>
          <w:rFonts w:ascii="Times New Roman" w:hAnsi="Times New Roman"/>
          <w:color w:val="000000"/>
          <w:sz w:val="20"/>
        </w:rPr>
        <w:t xml:space="preserve">an amount to be determined by the board of directors or its designated committee no later than the last day of the immediately preceding fiscal year.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Under this mechanism, a total of 310,617 and 246,807 shares of common stock were added to the 2021 ESPP on January 1, 2026 and 2025, respectively. Shares of common stock issuable under the 2021 ESPP will be authorized, but unissued, or reacquired shares of common stock. If the Company’s capital structure changes because of a stock dividend, stock split or similar event, the number of shares that can be issued under the 2021 ESPP will be appropriately adjusted. The Company opened enrollment into the 2021 ESPP in May 2022.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Company uses the Black-Scholes model to determine the estimated fair value for purchases under the 2021 ESPP. Black-Scholes models require the input of various assumptions, including the expected life, expected dividend yield, price volatility and risk-free interest rate of the underlying stock. The expected volatility used in calculating the estimated fair value for purchases under the 2021 ESPP is based on the historical volatility of the Company's common stock.</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The calculation was based on the following assumptions: </w:t>
      </w:r>
    </w:p>
    <w:p>
      <w:pPr>
        <w:pStyle w:val="TextBody"/>
        <w:bidi w:val="0"/>
        <w:spacing w:lineRule="auto" w:line="331"/>
        <w:jc w:val="both"/>
        <w:rPr/>
      </w:pPr>
      <w:r>
        <w:rPr/>
        <w:t> </w:t>
      </w:r>
    </w:p>
    <w:tbl>
      <w:tblPr>
        <w:tblW w:w="9270" w:type="dxa"/>
        <w:jc w:val="left"/>
        <w:tblInd w:w="0" w:type="dxa"/>
        <w:tblLayout w:type="fixed"/>
        <w:tblCellMar>
          <w:top w:w="28" w:type="dxa"/>
          <w:left w:w="28" w:type="dxa"/>
          <w:bottom w:w="28" w:type="dxa"/>
          <w:right w:w="28" w:type="dxa"/>
        </w:tblCellMar>
      </w:tblPr>
      <w:tblGrid>
        <w:gridCol w:w="2131"/>
        <w:gridCol w:w="146"/>
        <w:gridCol w:w="937"/>
        <w:gridCol w:w="2318"/>
        <w:gridCol w:w="146"/>
        <w:gridCol w:w="146"/>
        <w:gridCol w:w="937"/>
        <w:gridCol w:w="2318"/>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and Six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25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and Six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Strike price (per share)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$1.82 - $4.00</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$1.69 - $2.11</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3.77% - 3.80%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4.29% - 4.44%</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73.73% - 80.01%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255"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55.26% - 88.23%</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8"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both"/>
        <w:rPr/>
      </w:pPr>
      <w:r>
        <w:rPr/>
        <w:t> </w:t>
      </w:r>
    </w:p>
    <w:p>
      <w:pPr>
        <w:pStyle w:val="TextBody"/>
        <w:bidi w:val="0"/>
        <w:spacing w:lineRule="auto" w:line="331"/>
        <w:jc w:val="both"/>
        <w:rPr>
          <w:rFonts w:ascii="Times New Roman" w:hAnsi="Times New Roman"/>
          <w:color w:val="000000"/>
          <w:sz w:val="20"/>
        </w:rPr>
      </w:pPr>
      <w:r>
        <w:rPr>
          <w:rFonts w:ascii="Times New Roman" w:hAnsi="Times New Roman"/>
          <w:color w:val="000000"/>
          <w:sz w:val="20"/>
        </w:rPr>
        <w:t>As of June 30, 2026, and December 31, 2025, 1,318,718 and 1,023,856 shares of common stock were available for issuance under the 2021 ESPP, respectively. The Company had an outstanding liability of $42.0 thousand and $24.0 thousand as of June 30, 2026, and December 31, 2025, respectively, which will be recognized over six months. For the six months ended June 30, 2026 and 2025, 15,755 and 16,337 shares were issued under the 2021 ESPP, respectively.</w:t>
      </w:r>
    </w:p>
    <w:p>
      <w:pPr>
        <w:pStyle w:val="TextBody"/>
        <w:bidi w:val="0"/>
        <w:spacing w:lineRule="auto" w:line="331" w:before="200" w:after="283"/>
        <w:jc w:val="both"/>
        <w:rPr>
          <w:rFonts w:ascii="Times New Roman" w:hAnsi="Times New Roman"/>
          <w:sz w:val="20"/>
        </w:rPr>
      </w:pPr>
      <w:r>
        <w:rPr>
          <w:rFonts w:ascii="Times New Roman" w:hAnsi="Times New Roman"/>
          <w:b/>
          <w:color w:val="000000"/>
          <w:sz w:val="20"/>
        </w:rPr>
        <w:t>11. Income Taxes</w:t>
      </w:r>
      <w:r>
        <w:rPr>
          <w:rFonts w:ascii="Times New Roman" w:hAnsi="Times New Roman"/>
          <w:color w:val="000000"/>
          <w:sz w:val="20"/>
        </w:rPr>
        <w:t xml:space="preserv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The Company recorded no income tax expense for the six months ended June 30, 2026 and 2025. The Company continues to maintain a full valuation allowance. </w:t>
      </w:r>
    </w:p>
    <w:p>
      <w:pPr>
        <w:pStyle w:val="TextBody"/>
        <w:bidi w:val="0"/>
        <w:spacing w:lineRule="auto" w:line="331" w:before="200" w:after="283"/>
        <w:jc w:val="both"/>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From time to time, the Company could be subject to various legal proceedings and claims that arise in the ordinary course of its business activities. Regardless of the outcome, legal proceedings can have an adverse impact on the Company because of defense and settlement costs, diversion of management resources and other factors. The Company has no ongoing legal proceedings or claims where a liability has been recorded as of June 30, 2026 and December 31, 2025.</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Purchase Commitments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Company has ongoing contracts with vendors for clinical trials, research and development, and contract manufacturing. These contracts are generally cancellable, with notice, at the Company’s option. The Company recorded accrued expenses of $4.9 million and $8.6 million for expenditures incurred by clinical, research and development, and contract manufacturing vendors as of June 30, 2026, and December 31, 2025, respectively.</w:t>
      </w:r>
    </w:p>
    <w:p>
      <w:pPr>
        <w:pStyle w:val="TextBody"/>
        <w:bidi w:val="0"/>
        <w:spacing w:lineRule="auto" w:line="331" w:before="200" w:after="283"/>
        <w:jc w:val="both"/>
        <w:rPr>
          <w:rFonts w:ascii="Times New Roman" w:hAnsi="Times New Roman"/>
          <w:b/>
          <w:color w:val="000000"/>
          <w:sz w:val="20"/>
        </w:rPr>
      </w:pPr>
      <w:r>
        <w:rPr>
          <w:rFonts w:ascii="Times New Roman" w:hAnsi="Times New Roman"/>
          <w:b/>
          <w:color w:val="000000"/>
          <w:sz w:val="20"/>
        </w:rPr>
        <w:t>13. Restructuring</w:t>
      </w:r>
    </w:p>
    <w:p>
      <w:pPr>
        <w:pStyle w:val="TextBody"/>
        <w:bidi w:val="0"/>
        <w:spacing w:lineRule="auto" w:line="331" w:before="200" w:after="283"/>
        <w:jc w:val="both"/>
        <w:rPr>
          <w:rFonts w:ascii="Times New Roman" w:hAnsi="Times New Roman"/>
          <w:sz w:val="20"/>
        </w:rPr>
      </w:pPr>
      <w:r>
        <w:rPr>
          <w:rFonts w:ascii="Times New Roman" w:hAnsi="Times New Roman"/>
          <w:color w:val="000000"/>
          <w:sz w:val="20"/>
        </w:rPr>
        <w:t xml:space="preserve">On August 21, 2024, the Company announced a restructuring plan to reduce the Company’s workforce by approximately 32% in response to the Company's announcement on August 20, 2024 that it planned to halt the registration-intended PRECISION1 trial of nab-sirolimus in patients with solid tumors harboring </w:t>
      </w:r>
      <w:r>
        <w:rPr>
          <w:rFonts w:ascii="Times New Roman" w:hAnsi="Times New Roman"/>
          <w:i/>
          <w:color w:val="000000"/>
          <w:sz w:val="20"/>
        </w:rPr>
        <w:t>TSC1</w:t>
      </w:r>
      <w:r>
        <w:rPr>
          <w:rFonts w:ascii="Times New Roman" w:hAnsi="Times New Roman"/>
          <w:color w:val="000000"/>
          <w:sz w:val="20"/>
        </w:rPr>
        <w:t xml:space="preserve"> or </w:t>
      </w:r>
      <w:r>
        <w:rPr>
          <w:rFonts w:ascii="Times New Roman" w:hAnsi="Times New Roman"/>
          <w:i/>
          <w:color w:val="000000"/>
          <w:sz w:val="20"/>
        </w:rPr>
        <w:t>TSC2</w:t>
      </w:r>
      <w:r>
        <w:rPr>
          <w:rFonts w:ascii="Times New Roman" w:hAnsi="Times New Roman"/>
          <w:color w:val="000000"/>
          <w:sz w:val="20"/>
        </w:rPr>
        <w:t xml:space="preserve"> inactivating alterations. The Company recorded a total restructuring charge of $2.6 million, which consisted of one-time termination benefits such as severance costs and related benefits. As of June 30, 2026, no one-time termination benefits remain payable. As of December 31, 2025, $0.2 million of one-time termination benefits remained payable and were recorded within the accrued liabilities and other liabilities line items on the Company's condensed consolidated balance sheet. The Company paid $0 and $0.2 million of the liability during the three and six months ended June 30, 2026, respectively. The Company paid $0.3 million and $0.7 million during the three and six months ended June 30, 2025, respectively. There were no restructuring charges for the three and six months ended June 30, 2026 and 2025. Restructuring payments commenced in September 2024 and were completed in March 2026.</w:t>
      </w:r>
    </w:p>
    <w:p>
      <w:pPr>
        <w:pStyle w:val="TextBody"/>
        <w:bidi w:val="0"/>
        <w:spacing w:lineRule="auto" w:line="331" w:before="200" w:after="283"/>
        <w:jc w:val="both"/>
        <w:rPr>
          <w:rFonts w:ascii="Times New Roman" w:hAnsi="Times New Roman"/>
          <w:b/>
          <w:color w:val="000000"/>
          <w:sz w:val="20"/>
        </w:rPr>
      </w:pPr>
      <w:r>
        <w:rPr>
          <w:rFonts w:ascii="Times New Roman" w:hAnsi="Times New Roman"/>
          <w:b/>
          <w:color w:val="000000"/>
          <w:sz w:val="20"/>
        </w:rPr>
        <w:t>14. Divestiture of FYARRO</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On December 19, 2024, the Company entered into the Divestiture Agreement with KAKEN, KAKEN PHARMACEUTICAL CO., LTD, and Aadi Subsidiary for the sale to KAKEN of 100% of the outstanding shares of capital stock of Aadi Subsidiary and thereby all of the Company’s assets related to the FYARRO Business. Per the terms and subject to the conditions of the Divestiture Agreement, KAKEN paid to the Company a cash payment of $102.4 million (following applicable purchase price adjustments under the Divestiture Agreement) at the closing of the FYARRO Divestiture on March 25, 2025.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Company recorded a net gain on sale of the FYARRO Divestiture of $87.4 million at the closing thereof, which has been recorded on the unaudited condensed consolidated statement of operations and comprehensive (loss) income. The $87.4 million gain represents the aggregate consideration of $102.4 million, less the assets and liabilities transferred, which are listed below (in thousands):</w:t>
      </w:r>
    </w:p>
    <w:p>
      <w:pPr>
        <w:pStyle w:val="TextBody"/>
        <w:bidi w:val="0"/>
        <w:spacing w:lineRule="auto" w:line="331"/>
        <w:jc w:val="both"/>
        <w:rPr/>
      </w:pPr>
      <w:r>
        <w:rPr/>
        <w:t> </w:t>
      </w:r>
    </w:p>
    <w:tbl>
      <w:tblPr>
        <w:tblW w:w="5838" w:type="dxa"/>
        <w:jc w:val="left"/>
        <w:tblInd w:w="0" w:type="dxa"/>
        <w:tblLayout w:type="fixed"/>
        <w:tblCellMar>
          <w:top w:w="28" w:type="dxa"/>
          <w:left w:w="28" w:type="dxa"/>
          <w:bottom w:w="28" w:type="dxa"/>
          <w:right w:w="28" w:type="dxa"/>
        </w:tblCellMar>
      </w:tblPr>
      <w:tblGrid>
        <w:gridCol w:w="4021"/>
        <w:gridCol w:w="146"/>
        <w:gridCol w:w="280"/>
        <w:gridCol w:w="980"/>
        <w:gridCol w:w="41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March 25,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(1,000</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(6,903</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(5,141</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(13,910</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(6,836</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(707</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(21,517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(852</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(4,951</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(201</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(6,004</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(6,540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assets disposed of</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(14,977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273"/>
        <w:jc w:val="left"/>
        <w:rPr/>
      </w:pPr>
      <w:r>
        <w:rPr/>
        <w: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jc w:val="both"/>
        <w:rPr/>
      </w:pPr>
      <w:r>
        <w:rPr/>
        <w:t> </w:t>
      </w:r>
    </w:p>
    <w:p>
      <w:pPr>
        <w:pStyle w:val="TextBody"/>
        <w:bidi w:val="0"/>
        <w:spacing w:lineRule="auto" w:line="331"/>
        <w:jc w:val="both"/>
        <w:rPr>
          <w:rFonts w:ascii="Times New Roman" w:hAnsi="Times New Roman"/>
          <w:color w:val="000000"/>
          <w:sz w:val="20"/>
        </w:rPr>
      </w:pPr>
      <w:r>
        <w:rPr>
          <w:rFonts w:ascii="Times New Roman" w:hAnsi="Times New Roman"/>
          <w:color w:val="000000"/>
          <w:sz w:val="20"/>
        </w:rPr>
        <w:t>The Company evaluated various qualitative and quantitative factors related to the disposition of the FYARRO Business and determined the transaction did not meet the criteria for discontinued operations under ASC 205-20, and therefore no reclassification has been made to prior period statements.</w:t>
      </w:r>
    </w:p>
    <w:p>
      <w:pPr>
        <w:pStyle w:val="TextBody"/>
        <w:bidi w:val="0"/>
        <w:spacing w:lineRule="auto" w:line="331" w:before="200" w:after="283"/>
        <w:jc w:val="both"/>
        <w:rPr>
          <w:rFonts w:ascii="Times New Roman" w:hAnsi="Times New Roman"/>
          <w:b/>
          <w:color w:val="000000"/>
          <w:sz w:val="20"/>
        </w:rPr>
      </w:pPr>
      <w:r>
        <w:rPr>
          <w:rFonts w:ascii="Times New Roman" w:hAnsi="Times New Roman"/>
          <w:b/>
          <w:color w:val="000000"/>
          <w:sz w:val="20"/>
        </w:rPr>
        <w:t>15. Segment Information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has identified its Chief Executive Officer as the chief operating decision maker and the Company views its operations and manages its business in one operating segment, applying advanced technologies to established tumor biology that are intended to efficiently develop improved cancer treatments. The CODM assesses performance for the Company's single operating segment and decides how to allocate resources based on research and development expenses incurred and on net (loss) income as reported on the statement of operations and comprehensive (loss) income. The measure of segment assets is reported on the balance sheet as total assets. Further, segment depreciation expense and segment asset additions are consistent with amounts reported within the statement of cash flows given the Company's operations are aggregated within a single reportable segment. The Company's revenues relate to sales of FYARRO, which was divested as of March 25, 2025. Refer to Note 2 for further information. All the assets and operations of the Company’s sole operating and reportable segment are located in the United States.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Significant segment expenses which are regularly reported to the CODM for purposes of making decisions regarding the allocation of resources are included within the table below and are reconciled to net (loss) income (in thousands): </w:t>
      </w:r>
    </w:p>
    <w:p>
      <w:pPr>
        <w:pStyle w:val="TextBody"/>
        <w:bidi w:val="0"/>
        <w:spacing w:lineRule="auto" w:line="331"/>
        <w:jc w:val="both"/>
        <w:rPr/>
      </w:pPr>
      <w:r>
        <w:rPr/>
        <w:t> </w:t>
      </w:r>
    </w:p>
    <w:tbl>
      <w:tblPr>
        <w:tblW w:w="9999" w:type="dxa"/>
        <w:jc w:val="left"/>
        <w:tblInd w:w="0" w:type="dxa"/>
        <w:tblLayout w:type="fixed"/>
        <w:tblCellMar>
          <w:top w:w="28" w:type="dxa"/>
          <w:left w:w="28" w:type="dxa"/>
          <w:bottom w:w="28" w:type="dxa"/>
          <w:right w:w="28" w:type="dxa"/>
        </w:tblCellMar>
      </w:tblPr>
      <w:tblGrid>
        <w:gridCol w:w="4481"/>
        <w:gridCol w:w="146"/>
        <w:gridCol w:w="216"/>
        <w:gridCol w:w="756"/>
        <w:gridCol w:w="170"/>
        <w:gridCol w:w="149"/>
        <w:gridCol w:w="216"/>
        <w:gridCol w:w="756"/>
        <w:gridCol w:w="166"/>
        <w:gridCol w:w="146"/>
        <w:gridCol w:w="211"/>
        <w:gridCol w:w="736"/>
        <w:gridCol w:w="166"/>
        <w:gridCol w:w="146"/>
        <w:gridCol w:w="211"/>
        <w:gridCol w:w="736"/>
        <w:gridCol w:w="591"/>
      </w:tblGrid>
      <w:tr>
        <w:trPr/>
        <w:tc>
          <w:tcPr>
            <w:tcW w:w="4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3"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sans-serif" w:hAnsi="sans-serif"/>
                <w:b/>
                <w:color w:val="000000"/>
                <w:sz w:val="16"/>
              </w:rPr>
            </w:pPr>
            <w:r>
              <w:rPr>
                <w:rFonts w:ascii="sans-serif" w:hAnsi="sans-serif"/>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sans-serif" w:hAnsi="sans-serif"/>
                <w:b/>
                <w:color w:val="000000"/>
                <w:sz w:val="16"/>
              </w:rPr>
            </w:pPr>
            <w:r>
              <w:rPr>
                <w:rFonts w:ascii="sans-serif" w:hAnsi="sans-serif"/>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center"/>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7,145</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ADC assets -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9,101</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43,454</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21,138</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43,454</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ADC assets - contract manufacturing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3,792</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5,402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8,980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8,877</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FYARRO -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5,266</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FYARRO - commercial and marketing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280</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Finance and accounting expenses (1)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1,697</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2,033</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3,775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5,249</w:t>
            </w:r>
          </w:p>
        </w:tc>
        <w:tc>
          <w:tcPr>
            <w:tcW w:w="59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Legal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1,230</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984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2,282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3,571</w:t>
            </w:r>
          </w:p>
        </w:tc>
        <w:tc>
          <w:tcPr>
            <w:tcW w:w="59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00"/>
              <w:jc w:val="lef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400"/>
              <w:jc w:val="left"/>
              <w:rPr>
                <w:rFonts w:ascii="Times New Roman" w:hAnsi="Times New Roman"/>
                <w:color w:val="000000"/>
                <w:sz w:val="20"/>
              </w:rPr>
            </w:pPr>
            <w:r>
              <w:rPr>
                <w:rFonts w:ascii="Times New Roman" w:hAnsi="Times New Roman"/>
                <w:color w:val="000000"/>
                <w:sz w:val="20"/>
              </w:rPr>
              <w:t>Other segment items (2)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820</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(79,953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(16,640</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(38,834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20,401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both"/>
        <w:rPr/>
      </w:pPr>
      <w:r>
        <w:rPr/>
        <w:t> </w:t>
      </w:r>
    </w:p>
    <w:p>
      <w:pPr>
        <w:pStyle w:val="TextBody"/>
        <w:bidi w:val="0"/>
        <w:spacing w:lineRule="auto" w:line="273"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lineRule="auto" w:line="273" w:before="0" w:after="0"/>
        <w:jc w:val="both"/>
        <w:rPr>
          <w:rFonts w:ascii="Times New Roman" w:hAnsi="Times New Roman"/>
          <w:color w:val="000000"/>
          <w:sz w:val="16"/>
        </w:rPr>
      </w:pPr>
      <w:r>
        <w:rPr>
          <w:rFonts w:ascii="Times New Roman" w:hAnsi="Times New Roman"/>
          <w:color w:val="000000"/>
          <w:sz w:val="16"/>
        </w:rPr>
        <w:t>Finance and accounting expenses primarily include shared-based compensation, insurance, salaries and wages, and other outside consulting services.</w:t>
      </w:r>
    </w:p>
    <w:p>
      <w:pPr>
        <w:pStyle w:val="TextBody"/>
        <w:bidi w:val="0"/>
        <w:spacing w:lineRule="auto" w:line="273"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lineRule="auto" w:line="273"/>
        <w:jc w:val="both"/>
        <w:rPr>
          <w:rFonts w:ascii="Times New Roman" w:hAnsi="Times New Roman"/>
          <w:color w:val="000000"/>
          <w:sz w:val="16"/>
        </w:rPr>
      </w:pPr>
      <w:r>
        <w:rPr>
          <w:rFonts w:ascii="Times New Roman" w:hAnsi="Times New Roman"/>
          <w:color w:val="000000"/>
          <w:sz w:val="16"/>
        </w:rPr>
        <w:t>Other segment items primarily include other SGA departmental expenses, cost of sales, other income, and gain on sale of business.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center"/>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This Quarterly Report on Form 10-Q (“Quarterly Report”) contains express or implied forward-looking statements which are made pursuant to the safe harbor provisions of Section 27A of the Securities Act of 1933, as amended (the “Securities Act”), and Section 21E of the Securities Exchange Act of 1934, as amended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may include, but are not limited to, statements about: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estimates regarding expenses, capital requirements, needs for additional financing and the period over which we anticipate our existing cash and cash equivalents will be sufficient to fund our operating expenses and capital expenditure requirements, including our belief that, based on our current plans, our existing cash, cash equivalents and short-term investments will enable us to conduct our planned operations into the second half of 2028;</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ability to obtain and maintain regulatory approval for our portfolio of three next generation antibody drug conjugates (the “ADC Therapies”) or any other product candidates we may develop, and any related restrictions, limitations or warnings in the label of an approved product candidate;</w:t>
      </w:r>
    </w:p>
    <w:p>
      <w:pPr>
        <w:pStyle w:val="TextBody"/>
        <w:bidi w:val="0"/>
        <w:spacing w:lineRule="auto" w:line="331" w:before="120" w:after="283"/>
        <w:jc w:val="both"/>
        <w:rPr>
          <w:color w:val="000000"/>
        </w:rPr>
      </w:pPr>
      <w:r>
        <w:rPr>
          <w:color w:val="000000"/>
        </w:rPr>
        <w:t>•</w:t>
      </w:r>
    </w:p>
    <w:p>
      <w:pPr>
        <w:pStyle w:val="TextBody"/>
        <w:bidi w:val="0"/>
        <w:spacing w:lineRule="auto" w:line="331" w:before="120" w:after="283"/>
        <w:jc w:val="both"/>
        <w:rPr>
          <w:rFonts w:ascii="Times New Roman" w:hAnsi="Times New Roman"/>
          <w:color w:val="000000"/>
          <w:sz w:val="20"/>
        </w:rPr>
      </w:pPr>
      <w:r>
        <w:rPr>
          <w:rFonts w:ascii="Times New Roman" w:hAnsi="Times New Roman"/>
          <w:color w:val="000000"/>
          <w:sz w:val="20"/>
        </w:rPr>
        <w:t>the timing, progress and results of preclinical studies and clinical trials for our programs and product candidates (including our anticipated timing of FDA's clearance of our investigational new drug (“IND”) application for HWK-206 with the U.S. Food and Drug Administration by mid-2026 and submission of IND applications for multiple new programs over the next 12-24 months in connection with our option agreement with Hangzhou DAC), the timing of initiation and completion of studies or trials and related preparatory work, the period during which the results of the trials will become available and our research and development programs;</w:t>
      </w:r>
    </w:p>
    <w:p>
      <w:pPr>
        <w:pStyle w:val="TextBody"/>
        <w:bidi w:val="0"/>
        <w:spacing w:lineRule="auto" w:line="331" w:before="200" w:after="283"/>
        <w:jc w:val="left"/>
        <w:rPr>
          <w:color w:val="000000"/>
        </w:rPr>
      </w:pPr>
      <w:r>
        <w:rPr>
          <w:color w:val="000000"/>
        </w:rPr>
        <w:t>•</w:t>
      </w:r>
    </w:p>
    <w:p>
      <w:pPr>
        <w:pStyle w:val="TextBody"/>
        <w:bidi w:val="0"/>
        <w:spacing w:lineRule="auto" w:line="331" w:before="200" w:after="283"/>
        <w:jc w:val="left"/>
        <w:rPr>
          <w:rFonts w:ascii="Times New Roman" w:hAnsi="Times New Roman"/>
          <w:color w:val="000000"/>
          <w:sz w:val="20"/>
        </w:rPr>
      </w:pPr>
      <w:r>
        <w:rPr>
          <w:rFonts w:ascii="Times New Roman" w:hAnsi="Times New Roman"/>
          <w:color w:val="000000"/>
          <w:sz w:val="20"/>
        </w:rPr>
        <w:t>the anticipated timing of releasing data for current or future clinical trials, including our expected timing of the data readouts for the HWK-007 and HWK-016 Phase 1 clinical trials in the first half of 2027;</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anticipated timing of commencement, enrollment, and completion of any current or future clinical trials for the ADC Therapies or any other product candidates we may develop;</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belief that, with the three ADC Therapies, we have the ability to pursue multiple cancer indications with high potential in large addressable patient populations, including and beyond those indications currently expected to be targeted in the upcoming Phase 1 trials;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belief that the ADC Therapies will be able to target cancers expressing specified tumor markers precisely and deliver the potent, cytotoxic Topoisomerase I ("TOP1") inhibitor at the site of cancer;</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view that we are positioned to unlock the high potential of the ADC Therapies due to our track record of strong execution of novel drug formulation, research, clinical development, and commercialization in oncology, combined with our deep understanding of antibody drug conjugates ("ADCs");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belief that our team is well positioned to execute on our strategy to develop and, if approved, commercialize the ADC Therapies and future pipeline assets to ultimately bring broad benefit to cancer patients worldwide;</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manufacturing capabilities and strategy;</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expectations regarding the beneficial characteristics, safety, efficacy and therapeutic effects of the ADC Therapies and any other product candidates that we may develop;</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implementation of our business model and our strategic plans for our business;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ability to contract with and rely on third parties to assist in conducting our clinical trials and manufacturing the ADC Therapies and any other product candidates we may develop;</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size and growth potential of the markets for the ADC Therapies and any other product candidates we may develop, if approved, and our ability to serve those markets, either alone or in partnership with others;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ability to obtain funding for our operations, including funding necessary to complete development, approval and, if approved, commercialization of the ADC Therapies and any other product candidates we may develop;</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potential for our business development efforts to maximize the potential value of our portfolio;</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our expectations regarding our ability to obtain and maintain intellectual property protection for our product candidates;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financial performance; and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our ability to retain the continued service of our key professionals and to identify, hire and retain additional qualified professionals.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Forward-looking statements are not historical facts, but rather are based on current expectations, estimates, assumptions, and projections about the business and future financial results of the pharmaceutical industry, and other legal, regulatory and economic developments. In some cases, you can identify forward-looking statements by terms such as “may,” “will,” “intend,” “should,” “could,” “would,” “expect,” “plan,” “anticipate,” “believe,” “estimate,” “project,” “predict,” “potential,” “continue,” “likely,” and similar expressions (including their use in the negative)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Part II, Item 1A (Risk Factors) of this Quarterly Report.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You should not place undue reliance on forward-looking statements because they involve known and unknown risks, uncertainties and other factors, which are, in some cases, beyond our control and which could materially affect results.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and the documents that we reference in this Quarterly Report and have filed with or furnished to the U.S. Securities and Exchange Commission (the “SEC”) completely and with the understanding that our actual future results may be materially different from any future results expressed or implied by these forward-looking statements.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The forward-looking statements in this Quarterly Report represent our views as of the date of this Quarterly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b/>
          <w:color w:val="000000"/>
          <w:sz w:val="20"/>
        </w:rPr>
      </w:pPr>
      <w:bookmarkStart w:id="10" w:name="item2_management_discussion_and_analysis"/>
      <w:bookmarkEnd w:id="10"/>
      <w:r>
        <w:rPr>
          <w:rFonts w:ascii="Times New Roman" w:hAnsi="Times New Roman"/>
          <w:b/>
          <w:color w:val="000000"/>
          <w:sz w:val="20"/>
        </w:rPr>
        <w:t>Item 2. Management’s Discussion and Analysis of Financial Condition and Results of Operations</w:t>
      </w:r>
    </w:p>
    <w:p>
      <w:pPr>
        <w:pStyle w:val="TextBody"/>
        <w:bidi w:val="0"/>
        <w:spacing w:lineRule="auto" w:line="331" w:before="200" w:after="283"/>
        <w:jc w:val="both"/>
        <w:rPr>
          <w:rFonts w:ascii="Times New Roman" w:hAnsi="Times New Roman"/>
          <w:sz w:val="20"/>
        </w:rPr>
      </w:pPr>
      <w:r>
        <w:rPr>
          <w:rFonts w:ascii="Times New Roman" w:hAnsi="Times New Roman"/>
          <w:i/>
          <w:color w:val="000000"/>
          <w:sz w:val="20"/>
        </w:rPr>
        <w:t>The following discussion of our financial condition and results of operations should be read in conjunction with the unaudited condensed consolidated financial statements and the related notes thereto appearing elsewhere in this Quarterly Report and our audited financial statements and related notes thereto included in our Annual Report on Form 10-K for the year ended December 31, 2025 filed with the SEC on March 12, 2026. Some of the information contained in this discussion and analysis including information with respect to our plans and strategy for our business, includes forward-looking statements that involve risk, uncertainties and assumptions. Our actual results could differ materially from those discussed in our forward-looking statements for many reasons, including those risks. You should not place undue reliance on these forward-looking statements, which apply only as of the date of this Quarterly Report. You should read this Quarterly Report completely, including Part II, Item 1A (Risk Factors) of this Quarterly Report and the “Cautionary Statement Regarding Forward-Looking Statements” sections of this Quarterly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r>
        <w:rPr>
          <w:rFonts w:ascii="Times New Roman" w:hAnsi="Times New Roman"/>
          <w:color w:val="000000"/>
          <w:sz w:val="20"/>
        </w:rPr>
        <w:t xml:space="preserve"> </w:t>
      </w:r>
    </w:p>
    <w:p>
      <w:pPr>
        <w:pStyle w:val="TextBody"/>
        <w:bidi w:val="0"/>
        <w:spacing w:lineRule="auto" w:line="331" w:before="200" w:after="283"/>
        <w:jc w:val="both"/>
        <w:rPr>
          <w:rFonts w:ascii="Times New Roman" w:hAnsi="Times New Roman"/>
          <w:i/>
          <w:color w:val="000000"/>
          <w:sz w:val="20"/>
        </w:rPr>
      </w:pPr>
      <w:r>
        <w:rPr>
          <w:rFonts w:ascii="Times New Roman" w:hAnsi="Times New Roman"/>
          <w:i/>
          <w:color w:val="000000"/>
          <w:sz w:val="20"/>
        </w:rPr>
        <w:t>References in the following discussion to “we,” “our,” “us,” or “Whitehawk” refer to Whitehawk Therapeutics, Inc and its subsidiary.</w:t>
      </w:r>
    </w:p>
    <w:p>
      <w:pPr>
        <w:pStyle w:val="TextBody"/>
        <w:bidi w:val="0"/>
        <w:spacing w:lineRule="auto" w:line="331" w:before="200" w:after="283"/>
        <w:jc w:val="both"/>
        <w:rPr>
          <w:rFonts w:ascii="Times New Roman" w:hAnsi="Times New Roman"/>
          <w:i/>
          <w:color w:val="000000"/>
          <w:sz w:val="20"/>
        </w:rPr>
      </w:pPr>
      <w:r>
        <w:rPr>
          <w:rFonts w:ascii="Times New Roman" w:hAnsi="Times New Roman"/>
          <w:i/>
          <w:color w:val="000000"/>
          <w:sz w:val="20"/>
        </w:rPr>
        <w:t>Throughout this document we refer to FYARRO (nab-sirolimus, sirolimus protein-bound particles for injectable suspension (albumin-bound)) as FYARRO in the context of commercialization for the treatment of advanced malignant perivascular epithelioid cell tumor (PEComa), investigational use, our historical clinical trials, regulatory matters such as orphan drug designation, and our former agreements with Bristol-Myers Squibb Company, all further discussed throughout this document.</w:t>
      </w:r>
    </w:p>
    <w:p>
      <w:pPr>
        <w:pStyle w:val="TextBody"/>
        <w:bidi w:val="0"/>
        <w:spacing w:lineRule="auto" w:line="331" w:before="20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are a clinical-stage oncology therapeutics company applying advanced technologies to established tumor biology that are intended to efficiently develop improved cancer treatments. We have deep experience in chemistry, formulation, and drug delivery, as well as research, clinical, and commercial pharmaceutical development, successfully taking product candidates from the clinic to approval, launch, and commercialization.</w:t>
      </w:r>
    </w:p>
    <w:p>
      <w:pPr>
        <w:pStyle w:val="TextBody"/>
        <w:bidi w:val="0"/>
        <w:spacing w:lineRule="auto" w:line="331" w:before="200" w:after="283"/>
        <w:jc w:val="both"/>
        <w:rPr>
          <w:rFonts w:ascii="Times New Roman" w:hAnsi="Times New Roman"/>
          <w:i/>
          <w:color w:val="000000"/>
          <w:sz w:val="20"/>
        </w:rPr>
      </w:pPr>
      <w:r>
        <w:rPr>
          <w:rFonts w:ascii="Times New Roman" w:hAnsi="Times New Roman"/>
          <w:i/>
          <w:color w:val="000000"/>
          <w:sz w:val="20"/>
        </w:rPr>
        <w:t>License Agreement and ADC Therapies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December 2024, we entered into an intellectual property license agreement (the “License Agreement”) with WuXi Biologics (Shanghai FX) Co., Ltd. (“WuXi Biologics”) for the development and global commercialization of a portfolio of three next generation antibody drug conjugates (“ADCs”) targeting clinically validated, broadly overexpressed tumor antigens in high potential cancer indications with significant unmet need. These ADCs are constructed utilizing an advanced linker-payload platform called CPT113 that has been shown to provide high stability in blood circulation and deliver targeted release of a Topoisomerase I (“TOP1”) inhibitor payload into cancer cells.</w:t>
      </w:r>
    </w:p>
    <w:p>
      <w:pPr>
        <w:pStyle w:val="TextBody"/>
        <w:bidi w:val="0"/>
        <w:spacing w:lineRule="auto" w:line="331" w:before="200" w:after="283"/>
        <w:jc w:val="both"/>
        <w:rPr>
          <w:rFonts w:ascii="Times New Roman" w:hAnsi="Times New Roman"/>
          <w:sz w:val="20"/>
        </w:rPr>
      </w:pPr>
      <w:r>
        <w:rPr>
          <w:rFonts w:ascii="Times New Roman" w:hAnsi="Times New Roman"/>
          <w:color w:val="000000"/>
          <w:sz w:val="20"/>
        </w:rPr>
        <w:t xml:space="preserve">These in-licensed assets originated through the collaborative efforts of WuXi Biologics, a leading global contract research, development and manufacturing organization (“CRDMO”), and Hangzhou DAC Biotechnology (“Hangzhou DAC”), a global leader in ADC innovation, where Hangzhou DAC’s CPT113 linker-payload has been conjugated to novel antibodies developed by WuXi Biologics against three tumor targets: Protein Tyrosine Kinase 7 (“PTK7”), Mucin 16 (“MUC16”) and Seizure-related Protein 6 (“SEZ6”). We believe the resulting ADCs will be able to target cancers expressing these respective tumor markers precisely and deliver the potent, cytotoxic TOP1 inhibitor at the site of cancer. Each of these ADCs has demonstrated tumor cell binding, tumor cell line cytotoxicity, and </w:t>
      </w:r>
      <w:r>
        <w:rPr>
          <w:rFonts w:ascii="Times New Roman" w:hAnsi="Times New Roman"/>
          <w:i/>
          <w:color w:val="000000"/>
          <w:sz w:val="20"/>
        </w:rPr>
        <w:t>in vivo</w:t>
      </w:r>
      <w:r>
        <w:rPr>
          <w:rFonts w:ascii="Times New Roman" w:hAnsi="Times New Roman"/>
          <w:color w:val="000000"/>
          <w:sz w:val="20"/>
        </w:rPr>
        <w:t xml:space="preserve"> antitumor activity in preclinical models mimicking tumor progression. We refer to these in-licensed ADC assets as the "ADC Therapies" herein.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The U.S. Food and Drug Administration (“FDA”) cleared our investigational new drug (“IND”) applications for HWK-007, for the treatment of solid tumors, including non-small cell lung cancer (“NSCLC”) and ovarian cancer, and HWK-016, for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treatment of cancers of female origin, in the fourth quarter of 2025 and first quarter of 2026, respectively, and the Phase 1 trials for each asset are now actively recruiting. We expect data readouts in the first half of 2027 for each trial. We anticipate FDA clearance of our IND for HWK-206 for the treatment of small cell lung cancer ("SCLC") and neuroendocrine tumors (“NETs”) in mid-2026. With these three assets, we believe we have the ability to pursue multiple cancer indications with high potential in large addressable patient populations, including and beyond those indications currently expected to be targeted in our ongoing and upcoming Phase 1 trials.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track record of strong execution of novel drug formulation, research, clinical development, and commercialization in oncology, combined with our deep understanding of ADCs positions us to unlock the high potential of this differentiated ADC portfolio. Our management team has extensive experience in the discovery, development, and commercialization of cancer therapeutics, including in senior roles at leading oncology companies. We are supported by our board of directors and specialized scientific advisors, who contribute their deep understanding of drug discovery and development. Furthermore, our investor base includes top life science investors. We believe that our team is well positioned to execute on our strategy to develop and, if approved, commercialize the ADC Therapies and future pipeline assets to ultimately bring broad benefit to cancer patients worldwide.</w:t>
      </w:r>
    </w:p>
    <w:p>
      <w:pPr>
        <w:pStyle w:val="TextBody"/>
        <w:bidi w:val="0"/>
        <w:spacing w:lineRule="auto" w:line="331" w:before="200" w:after="283"/>
        <w:jc w:val="both"/>
        <w:rPr>
          <w:rFonts w:ascii="Times New Roman" w:hAnsi="Times New Roman"/>
          <w:i/>
          <w:color w:val="000000"/>
          <w:sz w:val="20"/>
        </w:rPr>
      </w:pPr>
      <w:r>
        <w:rPr>
          <w:rFonts w:ascii="Times New Roman" w:hAnsi="Times New Roman"/>
          <w:i/>
          <w:color w:val="000000"/>
          <w:sz w:val="20"/>
        </w:rPr>
        <w:t>Legacy FYARRO Business</w:t>
      </w:r>
    </w:p>
    <w:p>
      <w:pPr>
        <w:pStyle w:val="TextBody"/>
        <w:bidi w:val="0"/>
        <w:spacing w:lineRule="auto" w:line="331" w:before="200" w:after="283"/>
        <w:jc w:val="both"/>
        <w:rPr>
          <w:rFonts w:ascii="Times New Roman" w:hAnsi="Times New Roman"/>
          <w:sz w:val="20"/>
        </w:rPr>
      </w:pPr>
      <w:r>
        <w:rPr>
          <w:rFonts w:ascii="Times New Roman" w:hAnsi="Times New Roman"/>
          <w:color w:val="000000"/>
          <w:sz w:val="20"/>
        </w:rPr>
        <w:t>For the periods presented and through the FYARRO Divestiture (as defined below), our lead drug product was FYARRO</w:t>
      </w:r>
      <w:r>
        <w:rPr>
          <w:rFonts w:ascii="Times New Roman" w:hAnsi="Times New Roman"/>
          <w:color w:val="000000"/>
          <w:sz w:val="13"/>
        </w:rPr>
        <w:t xml:space="preserve">® </w:t>
      </w:r>
      <w:r>
        <w:rPr>
          <w:rFonts w:ascii="Times New Roman" w:hAnsi="Times New Roman"/>
          <w:color w:val="000000"/>
          <w:sz w:val="20"/>
        </w:rPr>
        <w:t xml:space="preserve">(sirolimus protein-bound particles for injectable suspension (albumin-bound); nab-sirolimus). Nab-sirolimus is a potent inhibitor of the mTOR biological pathway with demonstrated anti-cancer activity in advanced malignant perivascular epithelioid cell tumor (“PEComa”), a rare cancer. We exclusively licensed FYARRO, previously called ABI-009, nab-sirolimus, from Abraxis BioScience, LLC, a wholly owned subsidiary of Celgene Corporation, which is a wholly owned subsidiary of Bristol-Myers Squibb Company (“BMS”). We refer to the development, production and commercial sale of FYARRO herein as the “FYARRO Business”. On February 22, 2022, we launched FYARRO in the United States for treatment of advanced malignant PEComa and recognized net product sales of $0 for the three and six months ended June 30, 2026, and $0 and $7.1 million for the three and six months ended June 30, 2025, respectively. See “Results of Operations” for further discussion of our results.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On December 19, 2024, we entered into a Stock Purchase Agreement (the “Divestiture Agreement”) with KAKEN INVESTMENTS INC., a Delaware corporation (“KAKEN”), KAKEN PHARMACEUTICAL CO., LTD (“Guarantor”), and Aadi Subsidiary, Inc., a Delaware corporation and our former wholly owned subsidiary and the operating company for the FYARRO Business (“Aadi Subsidiary”). Under the Divestiture Agreement, KAKEN acquired 100% of the outstanding shares of capital stock of Aadi Subsidiary from us at the closing for a cash payment of $102.4 million (following applicable purchase price adjustments under the Divestiture Agreement) (the "FYARRO Divestiture"). The divestiture transaction closed on March 25, 2025 and, as a result, we no longer operate the FYARRO Business.</w:t>
      </w:r>
    </w:p>
    <w:p>
      <w:pPr>
        <w:pStyle w:val="TextBody"/>
        <w:bidi w:val="0"/>
        <w:spacing w:lineRule="auto" w:line="331" w:before="200" w:after="120"/>
        <w:jc w:val="both"/>
        <w:rPr>
          <w:rFonts w:ascii="Times New Roman" w:hAnsi="Times New Roman"/>
          <w:b/>
          <w:i/>
          <w:color w:val="000000"/>
          <w:sz w:val="20"/>
        </w:rPr>
      </w:pPr>
      <w:r>
        <w:rPr>
          <w:rFonts w:ascii="Times New Roman" w:hAnsi="Times New Roman"/>
          <w:b/>
          <w:i/>
          <w:color w:val="000000"/>
          <w:sz w:val="20"/>
        </w:rPr>
        <w:t>Legacy FYARRO Business Agreements</w:t>
      </w:r>
    </w:p>
    <w:p>
      <w:pPr>
        <w:pStyle w:val="TextBody"/>
        <w:bidi w:val="0"/>
        <w:spacing w:lineRule="auto" w:line="331" w:before="80" w:after="283"/>
        <w:jc w:val="both"/>
        <w:rPr>
          <w:rFonts w:ascii="Times New Roman" w:hAnsi="Times New Roman"/>
          <w:sz w:val="20"/>
        </w:rPr>
      </w:pPr>
      <w:r>
        <w:rPr>
          <w:rFonts w:ascii="Times New Roman" w:hAnsi="Times New Roman"/>
          <w:i/>
          <w:color w:val="000000"/>
          <w:sz w:val="20"/>
        </w:rPr>
        <w:t xml:space="preserve">Former BMS License Agreement. </w:t>
      </w:r>
      <w:r>
        <w:rPr>
          <w:rFonts w:ascii="Times New Roman" w:hAnsi="Times New Roman"/>
          <w:color w:val="000000"/>
          <w:sz w:val="20"/>
        </w:rPr>
        <w:t>We had exclusive rights for certain patents and a non-exclusive license for certain technology and know-how pertaining to ABI-009 (which we refer to as FYARRO) pursuant to an amended and restated license agreement, dated November 15, 2019, as amended August 31, 2021 (the “BMS License Agreement”) with Abraxis BioScience, LLC, a wholly owned subsidiary of Celgene Corporation, which is a wholly owned subsidiary of BMS. Under the BMS License Agreement, BMS is entitled to receive certain development milestone payments, royalties on net sales from licensed products under the agreement and any sublicense fees. Under the terms of this agreement, we recorded royalties on net product sales of $0 during the three months ended June 30, 2026 and 2025, respectively. For the six months ended June 30, 2026 and 2025, we recorded royalties on net product sales of $0 and $0.5 million, respectively. No development payments related to milestones were paid during the three and six months ended June 30, 2026 and 2025 under the agreement. See Note 7 to the financial statements for more information about the BMS License Agreement.</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120"/>
        <w:jc w:val="both"/>
        <w:rPr>
          <w:rFonts w:ascii="Times New Roman" w:hAnsi="Times New Roman"/>
          <w:b/>
          <w:i/>
          <w:color w:val="000000"/>
          <w:sz w:val="20"/>
        </w:rPr>
      </w:pPr>
      <w:r>
        <w:rPr>
          <w:rFonts w:ascii="Times New Roman" w:hAnsi="Times New Roman"/>
          <w:b/>
          <w:i/>
          <w:color w:val="000000"/>
          <w:sz w:val="20"/>
        </w:rPr>
        <w:t>WuXi Biologics License Agreement</w:t>
      </w:r>
    </w:p>
    <w:p>
      <w:pPr>
        <w:pStyle w:val="TextBody"/>
        <w:bidi w:val="0"/>
        <w:spacing w:lineRule="auto" w:line="331" w:before="80" w:after="283"/>
        <w:jc w:val="both"/>
        <w:rPr>
          <w:rFonts w:ascii="Times New Roman" w:hAnsi="Times New Roman"/>
          <w:color w:val="000000"/>
          <w:sz w:val="20"/>
        </w:rPr>
      </w:pPr>
      <w:r>
        <w:rPr>
          <w:rFonts w:ascii="Times New Roman" w:hAnsi="Times New Roman"/>
          <w:color w:val="000000"/>
          <w:sz w:val="20"/>
        </w:rPr>
        <w:t>On December 19, 2024, we entered into the License Agreement with WuXi Biologics for exclusive rights to certain patents and know-how pertaining to WuXi Biologics’ preclinical ADC Therapies leveraging Hangzhou DAC linker-payload technology targeting each of MUC16, PTK7 and SEZ6. Under the License Agreement, we paid WuXi Biologics a non-refundable, partial upfront payment of $6.0 million on December 19, 2024 and we paid an additional non-refundable, upfront payment of $38.0 million on April 16, 2025, in each case, for the rights and licenses granted to us by WuXi Biologics. In accordance with the License Agreement, WuXi Biologics is eligible to receive from us (a) up to an aggregate of $265.0 million upon the achievement of certain development milestones, and (b) up to an aggregate of $540.0 million upon the achievement of certain commercial milestones, across all ADC Therapies programs. WuXi Biologics is also entitled to running royalties ranging from low-single-digit to upper-single-digit percentages of annual net sales of licensed products in the territory on a product-by-product and region-by-region basis from the first commercial sale of the applicable licensed product in a particular region until the date which is the later of (i) expiration of the last to expire valid claim of a license patent in such region covering the sale of such licensed product in such region or (ii) ten years after the first commercial sale of such licensed product in such region.</w:t>
      </w:r>
    </w:p>
    <w:p>
      <w:pPr>
        <w:pStyle w:val="TextBody"/>
        <w:bidi w:val="0"/>
        <w:spacing w:lineRule="auto" w:line="331" w:before="200" w:after="120"/>
        <w:jc w:val="both"/>
        <w:rPr>
          <w:rFonts w:ascii="Times New Roman" w:hAnsi="Times New Roman"/>
          <w:color w:val="000000"/>
          <w:sz w:val="20"/>
        </w:rPr>
      </w:pPr>
      <w:r>
        <w:rPr>
          <w:rFonts w:ascii="Times New Roman" w:hAnsi="Times New Roman"/>
          <w:color w:val="000000"/>
          <w:sz w:val="20"/>
        </w:rPr>
        <w:t xml:space="preserve">Each party may terminate the License Agreement in its entirety, or on a program-by-program basis, as applicable, if the other party remains in material breach of the License Agreement following a cure period to remedy the material breach or if the other party is declared insolvent or in similar financial distress. In addition, WuXi Biologics may terminate the License Agreement on a program-by-program basis if we do not meet certain development due diligence milestones. We may terminate the License Agreement in its entirety, or on a program-by-program basis, as applicable, with or without cause. </w:t>
      </w:r>
    </w:p>
    <w:p>
      <w:pPr>
        <w:pStyle w:val="TextBody"/>
        <w:bidi w:val="0"/>
        <w:spacing w:lineRule="auto" w:line="331"/>
        <w:jc w:val="both"/>
        <w:rPr>
          <w:rFonts w:ascii="Times New Roman" w:hAnsi="Times New Roman"/>
          <w:b/>
          <w:i/>
          <w:color w:val="000000"/>
          <w:sz w:val="20"/>
        </w:rPr>
      </w:pPr>
      <w:r>
        <w:rPr>
          <w:rFonts w:ascii="Times New Roman" w:hAnsi="Times New Roman"/>
          <w:b/>
          <w:i/>
          <w:color w:val="000000"/>
          <w:sz w:val="20"/>
        </w:rPr>
        <w:t>Recent Developments</w:t>
      </w:r>
    </w:p>
    <w:p>
      <w:pPr>
        <w:pStyle w:val="TextBody"/>
        <w:bidi w:val="0"/>
        <w:spacing w:lineRule="auto" w:line="331" w:before="120" w:after="283"/>
        <w:jc w:val="both"/>
        <w:rPr>
          <w:color w:val="000000"/>
        </w:rPr>
      </w:pPr>
      <w:r>
        <w:rPr>
          <w:color w:val="000000"/>
        </w:rPr>
        <w:t>•</w:t>
      </w:r>
    </w:p>
    <w:p>
      <w:pPr>
        <w:pStyle w:val="TextBody"/>
        <w:bidi w:val="0"/>
        <w:spacing w:lineRule="auto" w:line="331" w:before="120" w:after="283"/>
        <w:jc w:val="both"/>
        <w:rPr/>
      </w:pPr>
      <w:r>
        <w:rPr>
          <w:rFonts w:ascii="Times New Roman" w:hAnsi="Times New Roman"/>
          <w:b/>
          <w:i/>
          <w:color w:val="000000"/>
          <w:sz w:val="20"/>
        </w:rPr>
        <w:t xml:space="preserve">PIPE Financing. </w:t>
      </w:r>
      <w:r>
        <w:rPr>
          <w:rFonts w:ascii="Times New Roman" w:hAnsi="Times New Roman"/>
          <w:color w:val="000000"/>
          <w:sz w:val="20"/>
        </w:rPr>
        <w:t xml:space="preserve">On May 13, 2026, we entered into a securities purchase agreement for a private investment in public equity financing (the "2026 PIPE Financing") with certain investors (the "2026 PIPE Investors") for the sale of (i) 4,330,866 shares of our common stock, par value $0.0001 per share, at a purchase price of $3.92 per share, and (ii) 17,991,021 pre-funded warrants, at a purchase price of $3.9199 per pre-funded warrant, for aggregate net proceeds of $81.8 million. </w:t>
      </w:r>
    </w:p>
    <w:p>
      <w:pPr>
        <w:pStyle w:val="TextBody"/>
        <w:bidi w:val="0"/>
        <w:spacing w:lineRule="auto" w:line="331" w:before="120" w:after="283"/>
        <w:jc w:val="both"/>
        <w:rPr>
          <w:color w:val="000000"/>
        </w:rPr>
      </w:pPr>
      <w:r>
        <w:rPr>
          <w:color w:val="000000"/>
        </w:rPr>
        <w:t>•</w:t>
      </w:r>
    </w:p>
    <w:p>
      <w:pPr>
        <w:pStyle w:val="TextBody"/>
        <w:bidi w:val="0"/>
        <w:spacing w:lineRule="auto" w:line="331" w:before="120" w:after="283"/>
        <w:jc w:val="both"/>
        <w:rPr/>
      </w:pPr>
      <w:r>
        <w:rPr>
          <w:rFonts w:ascii="Times New Roman" w:hAnsi="Times New Roman"/>
          <w:b/>
          <w:i/>
          <w:color w:val="000000"/>
          <w:sz w:val="20"/>
        </w:rPr>
        <w:t>Pipeline Expansion</w:t>
      </w:r>
      <w:r>
        <w:rPr>
          <w:rFonts w:ascii="Times New Roman" w:hAnsi="Times New Roman"/>
          <w:color w:val="000000"/>
          <w:sz w:val="20"/>
        </w:rPr>
        <w:t>. In May 2026, we entered into a new option agreement with Hangzhou DAC for access to CPT113, their core linker-payload technology, for use in up to five additional ADC programs. Per the terms of the option agreement, we will select targets and source antibodies, while retaining global rights and full program control for the new ADC programs. We anticipate submitting IND applications for multiple new programs over the next 12-24 months.</w:t>
      </w:r>
    </w:p>
    <w:p>
      <w:pPr>
        <w:pStyle w:val="TextBody"/>
        <w:bidi w:val="0"/>
        <w:spacing w:lineRule="auto" w:line="331" w:before="120" w:after="283"/>
        <w:jc w:val="both"/>
        <w:rPr>
          <w:rFonts w:ascii="Times New Roman" w:hAnsi="Times New Roman"/>
          <w:sz w:val="20"/>
        </w:rPr>
      </w:pPr>
      <w:r>
        <w:rPr>
          <w:rFonts w:ascii="Times New Roman" w:hAnsi="Times New Roman"/>
          <w:color w:val="000000"/>
          <w:sz w:val="20"/>
        </w:rPr>
        <w:t>In addition, in June 2026, we entered into a global collaboration with Biocytogen to develop bispecific antibody-drug conjugates ("BsADC"). Biocytogen will provide access to up to five bispecific antibodies using its proprietary RenLite</w:t>
      </w:r>
      <w:r>
        <w:rPr>
          <w:rFonts w:ascii="Times New Roman" w:hAnsi="Times New Roman"/>
          <w:color w:val="000000"/>
          <w:sz w:val="13"/>
        </w:rPr>
        <w:t>®</w:t>
      </w:r>
      <w:r>
        <w:rPr>
          <w:rFonts w:ascii="Times New Roman" w:hAnsi="Times New Roman"/>
          <w:color w:val="000000"/>
          <w:sz w:val="20"/>
        </w:rPr>
        <w:t xml:space="preserve"> platform, and we will evaluate these in combination with our ADC linker-payload platform technologies. We then have the option to advance any resulting BsADC candidates as part of our pipeline.</w:t>
      </w:r>
    </w:p>
    <w:p>
      <w:pPr>
        <w:pStyle w:val="TextBody"/>
        <w:bidi w:val="0"/>
        <w:spacing w:lineRule="auto" w:line="331" w:before="120" w:after="283"/>
        <w:jc w:val="both"/>
        <w:rPr>
          <w:color w:val="000000"/>
        </w:rPr>
      </w:pPr>
      <w:r>
        <w:rPr>
          <w:color w:val="000000"/>
        </w:rPr>
        <w:t>•</w:t>
      </w:r>
    </w:p>
    <w:p>
      <w:pPr>
        <w:pStyle w:val="TextBody"/>
        <w:bidi w:val="0"/>
        <w:spacing w:lineRule="auto" w:line="331" w:before="120" w:after="283"/>
        <w:jc w:val="both"/>
        <w:rPr/>
      </w:pPr>
      <w:r>
        <w:rPr>
          <w:rFonts w:ascii="Times New Roman" w:hAnsi="Times New Roman"/>
          <w:b/>
          <w:i/>
          <w:color w:val="000000"/>
          <w:sz w:val="20"/>
        </w:rPr>
        <w:t>Data Presentations</w:t>
      </w:r>
      <w:r>
        <w:rPr>
          <w:rFonts w:ascii="Times New Roman" w:hAnsi="Times New Roman"/>
          <w:color w:val="000000"/>
          <w:sz w:val="20"/>
        </w:rPr>
        <w:t>. In April 2026, we presented new preclinical data across our ADC Therapies at the American Association for Cancer Research (AACR) Annual Meeting 2026. The preclinical data showed a consistent preclinical profile for each of the ADC Therapies, characterized by potent tumor regressions, high plasma stability and favorable tolerability in non</w:t>
        <w:noBreakHyphen/>
        <w:t xml:space="preserve">human primates, coupled with low systemic levels of free payload. </w:t>
      </w:r>
    </w:p>
    <w:p>
      <w:pPr>
        <w:pStyle w:val="TextBody"/>
        <w:bidi w:val="0"/>
        <w:spacing w:lineRule="auto" w:line="331" w:before="120" w:after="283"/>
        <w:jc w:val="both"/>
        <w:rPr>
          <w:rFonts w:ascii="Times New Roman" w:hAnsi="Times New Roman"/>
          <w:color w:val="000000"/>
          <w:sz w:val="20"/>
        </w:rPr>
      </w:pPr>
      <w:r>
        <w:rPr>
          <w:rFonts w:ascii="Times New Roman" w:hAnsi="Times New Roman"/>
          <w:color w:val="000000"/>
          <w:sz w:val="20"/>
        </w:rPr>
        <w:t>In April 2026, we presented three posters from a real-world analysis supporting the therapeutic potential of targeting MUC16 with a next-generation ADC for the treatment of ovarian and endometrial cancers at the Society of Gynecologic Oncology (SGO) 2026 Annual Meeting on Women's Cancer. The data showed MUC16 as the highest-expressing ADC target in ovarian cancer, at least two-fold higher than other emerging targets, and showed MUC16 is highly and stably expressed in the most aggressive and most common subtypes of endometrial cancer.</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Impact of Negative Global or National Events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120"/>
        <w:jc w:val="both"/>
        <w:rPr>
          <w:rFonts w:ascii="Times New Roman" w:hAnsi="Times New Roman"/>
          <w:color w:val="000000"/>
          <w:sz w:val="20"/>
        </w:rPr>
      </w:pPr>
      <w:r>
        <w:rPr>
          <w:rFonts w:ascii="Times New Roman" w:hAnsi="Times New Roman"/>
          <w:color w:val="000000"/>
          <w:sz w:val="20"/>
        </w:rPr>
        <w:t xml:space="preserve">Businesses have been and will continue to be impacted by a number of challenging global and national events and circumstances that continue to evolve, including the implementation of tariffs (and, as applicable, their subsequent actual or threatened modification or removal), recent turmoil in the global banking system, public health epidemics, such as the COVID-19 pandemic, extreme weather conditions, increased economic and regulatory uncertainty, inflation, rising interest rates, and geopolitical instability, including trade disputes and negotiations and the military conflicts in Ukraine, the Middle East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 </w:t>
      </w:r>
    </w:p>
    <w:p>
      <w:pPr>
        <w:pStyle w:val="TextBody"/>
        <w:bidi w:val="0"/>
        <w:spacing w:lineRule="auto" w:line="331" w:before="80" w:after="120"/>
        <w:jc w:val="both"/>
        <w:rPr>
          <w:rFonts w:ascii="Times New Roman" w:hAnsi="Times New Roman"/>
          <w:color w:val="000000"/>
          <w:sz w:val="20"/>
        </w:rPr>
      </w:pPr>
      <w:r>
        <w:rPr>
          <w:rFonts w:ascii="Times New Roman" w:hAnsi="Times New Roman"/>
          <w:color w:val="000000"/>
          <w:sz w:val="20"/>
        </w:rPr>
        <w:t>At this point, the extent to which these global or national events and circumstances may affect our future business, operations and development timelines and plans, including the resulting impact on our expenditures and capital needs, remains uncertain. We will continue to evaluate the impact that these events could have on our operations, financial position, results of operations and cash flows for the remainder of fiscal year 2026.</w:t>
      </w:r>
    </w:p>
    <w:p>
      <w:pPr>
        <w:pStyle w:val="TextBody"/>
        <w:bidi w:val="0"/>
        <w:spacing w:lineRule="auto" w:line="331" w:before="80" w:after="283"/>
        <w:jc w:val="both"/>
        <w:rPr>
          <w:rFonts w:ascii="Times New Roman" w:hAnsi="Times New Roman"/>
          <w:b/>
          <w:i/>
          <w:color w:val="000000"/>
          <w:sz w:val="20"/>
        </w:rPr>
      </w:pPr>
      <w:r>
        <w:rPr>
          <w:rFonts w:ascii="Times New Roman" w:hAnsi="Times New Roman"/>
          <w:b/>
          <w:i/>
          <w:color w:val="000000"/>
          <w:sz w:val="20"/>
        </w:rPr>
        <w:t>Key Trends and Factors Affecting Comparability Between Periods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recorded a net gain on sale of $87.4 million for the FYARRO Divestiture in the first quarter of 2025.</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Commercial sale of FYARRO was launched on February 22, 2022, for the treatment of patients with advanced malignant PEComa. We recorded net product sales of $0 for the three months ended June 30, 2026 and 2025, respectively, and $0 and $7.1 million for the six months ended June 30, 2026 and 2025, respectively. As a result of the FYARRO Divestiture, we no longer commercialize FYARRO as of March 25, 2025. As the commercial sale of FYARRO constituted our sole source of revenue, we do not expect to generate further revenue for the foreseeable future.</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had built a cross-functional commercial team consisting of marketing, market access and commercial operations. Expenses related to our commercialization of FYARRO, including personnel expenses, sales support, and marketing are included in selling, general and administrative expenses for the six months ended June 30, 2025. We expect these expenses to decrease, as compared to prior periods, due to the FYARRO Divestiture which closed on March 25, 2025.</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pPr>
      <w:r>
        <w:rPr>
          <w:rFonts w:ascii="Times New Roman" w:hAnsi="Times New Roman"/>
          <w:color w:val="000000"/>
          <w:sz w:val="20"/>
        </w:rPr>
        <w:t xml:space="preserve">We expect to increase our investment in research and development related to the ADC Therapies. We will continue to incur significant research and development and other expenses related to such ongoing operations. Under the License Agreement, we paid non-refundable license fees of $6.0 million and $38.0 million to WuXi Biologics in the fourth quarter of 2024 and the second quarter of 2025, respectively, </w:t>
      </w:r>
      <w:r>
        <w:rPr>
          <w:rFonts w:ascii="Times New Roman" w:hAnsi="Times New Roman"/>
          <w:color w:val="231F20"/>
          <w:sz w:val="20"/>
        </w:rPr>
        <w:t xml:space="preserve">plus a 6% VAT fee. Additionally, we recognized </w:t>
      </w:r>
      <w:r>
        <w:rPr>
          <w:rFonts w:ascii="Times New Roman" w:hAnsi="Times New Roman"/>
          <w:color w:val="000000"/>
          <w:sz w:val="20"/>
        </w:rPr>
        <w:t xml:space="preserve">$5.3 million of development milestone-related expense for the six months ended June 30, 2026. </w:t>
      </w:r>
    </w:p>
    <w:p>
      <w:pPr>
        <w:pStyle w:val="TextBody"/>
        <w:bidi w:val="0"/>
        <w:spacing w:lineRule="auto" w:line="331" w:before="200" w:after="283"/>
        <w:jc w:val="both"/>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lineRule="auto" w:line="331" w:before="200" w:after="283"/>
        <w:jc w:val="both"/>
        <w:rPr>
          <w:rFonts w:ascii="Times New Roman" w:hAnsi="Times New Roman"/>
          <w:sz w:val="20"/>
        </w:rPr>
      </w:pPr>
      <w:r>
        <w:rPr>
          <w:rFonts w:ascii="Times New Roman" w:hAnsi="Times New Roman"/>
          <w:color w:val="000000"/>
          <w:sz w:val="20"/>
        </w:rPr>
        <w:t xml:space="preserve">As of June 30, 2026, we had $190.0 million of cash, cash equivalents and short-term investments. </w:t>
      </w:r>
      <w:r>
        <w:rPr>
          <w:rFonts w:ascii="Times New Roman" w:hAnsi="Times New Roman"/>
          <w:color w:val="231F20"/>
          <w:sz w:val="20"/>
        </w:rPr>
        <w:t xml:space="preserve">Based on our current plans, we believe our existing cash, cash equivalents and short-term investments will enable us to conduct our planned operations into the second half of 2028. </w:t>
      </w:r>
      <w:r>
        <w:rPr>
          <w:rFonts w:ascii="Times New Roman" w:hAnsi="Times New Roman"/>
          <w:color w:val="000000"/>
          <w:sz w:val="20"/>
        </w:rPr>
        <w:t>As of June 30, 2026, we had an accumulated deficit of $392.1 million.</w:t>
      </w:r>
      <w:r>
        <w:rPr>
          <w:rFonts w:ascii="Times New Roman" w:hAnsi="Times New Roman"/>
          <w:color w:val="231F20"/>
          <w:sz w:val="20"/>
        </w:rPr>
        <w:t xml:space="preserve"> </w:t>
      </w:r>
      <w:r>
        <w:rPr>
          <w:rFonts w:ascii="Times New Roman" w:hAnsi="Times New Roman"/>
          <w:color w:val="000000"/>
          <w:sz w:val="20"/>
        </w:rPr>
        <w:t xml:space="preserve">Our net loss was $38.8 million and net income of $20.4 million for the six months ended June 30, 2026 and 2025, respectively. We have incurred net losses in each year since inception except for the six months ended June 30, 2025 as we incurred net income due to the sale of a business. These losses have resulted principally from costs incurred in connection with research and development activities, selling, general and administrative costs associated with our operations, costs associated with the Reverse Merger, the FYARRO Divestiture, and the in-licensing of the ADC Therapies. We expect to continue to incur significant expenses and operating losses for the foreseeable future due to the cost of research and development, including conducting preclinical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and clinical trials of the ADC Therapies and identifying and designing product candidates and the regulatory approval process for any product candidates we may develop.</w:t>
      </w:r>
    </w:p>
    <w:p>
      <w:pPr>
        <w:pStyle w:val="TextBody"/>
        <w:bidi w:val="0"/>
        <w:spacing w:lineRule="auto" w:line="331" w:before="200" w:after="283"/>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following discussion highlights our results of operations and the principal factors that have affected our financial condition as well as our liquidity and capital resources for the periods described and provides information that management believes is relevant for an assessment and understanding of the condensed consolidated balance sheets and condensed consolidated statements of operations and comprehensive (loss) income presented herein. The following discussion and analysis are based on our financial statements contained in this Quarterly Report, which we have prepared in accordance with U.S. generally accepted accounting principles (“GAAP”). You should read the discussion and analysis together with such condensed consolidated financial statements and the related notes thereto.</w:t>
      </w:r>
    </w:p>
    <w:p>
      <w:pPr>
        <w:pStyle w:val="TextBody"/>
        <w:bidi w:val="0"/>
        <w:spacing w:lineRule="auto" w:line="331" w:before="200" w:after="283"/>
        <w:jc w:val="both"/>
        <w:rPr>
          <w:rFonts w:ascii="Times New Roman" w:hAnsi="Times New Roman"/>
          <w:b/>
          <w:color w:val="000000"/>
          <w:sz w:val="20"/>
        </w:rPr>
      </w:pPr>
      <w:r>
        <w:rPr>
          <w:rFonts w:ascii="Times New Roman" w:hAnsi="Times New Roman"/>
          <w:b/>
          <w:color w:val="000000"/>
          <w:sz w:val="20"/>
        </w:rPr>
        <w:t>Components of Condensed Consolidated Statements of Operations and Comprehensive (Loss) Income</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lineRule="auto" w:line="331" w:before="200" w:after="283"/>
        <w:jc w:val="both"/>
        <w:rPr>
          <w:rFonts w:ascii="Times New Roman" w:hAnsi="Times New Roman"/>
          <w:i/>
          <w:color w:val="000000"/>
          <w:sz w:val="20"/>
        </w:rPr>
      </w:pPr>
      <w:r>
        <w:rPr>
          <w:rFonts w:ascii="Times New Roman" w:hAnsi="Times New Roman"/>
          <w:i/>
          <w:color w:val="000000"/>
          <w:sz w:val="20"/>
        </w:rPr>
        <w:t>Product Sales, Net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FYARRO was approved by the FDA in November 2021 for treating adult patients with locally advanced unresectable or metastatic malignant PEComa. On February 22, 2022, we launched sales of FYARRO to specialty distributors (“SDs”) and a specialty pharmacy (“SP”). We recognize product sales when the SDs and SP obtain control of the product, which occurs upon delivery. Product sales are recorded at the net sales price, which includes provisions for the following allowances which are reflected either as a reduction to the related account receivable or as an accrued liability, depending on how the allowance is settled: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pPr>
      <w:r>
        <w:rPr>
          <w:rFonts w:ascii="Times New Roman" w:hAnsi="Times New Roman"/>
          <w:i/>
          <w:color w:val="000000"/>
          <w:sz w:val="20"/>
        </w:rPr>
        <w:t>Distribution Fees</w:t>
      </w:r>
      <w:r>
        <w:rPr>
          <w:rFonts w:ascii="Times New Roman" w:hAnsi="Times New Roman"/>
          <w:color w:val="000000"/>
          <w:sz w:val="20"/>
        </w:rPr>
        <w:t>: Distribution fees include distribution service fees paid to the SDs and SP based on a contractually fixed percentage of the wholesale acquisition cost (“WAC”). Distribution fees are recorded as an offset to product sales based on contractual terms at the time the sale is recognized.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pPr>
      <w:r>
        <w:rPr>
          <w:rFonts w:ascii="Times New Roman" w:hAnsi="Times New Roman"/>
          <w:i/>
          <w:color w:val="000000"/>
          <w:sz w:val="20"/>
        </w:rPr>
        <w:t>Rebates</w:t>
      </w:r>
      <w:r>
        <w:rPr>
          <w:rFonts w:ascii="Times New Roman" w:hAnsi="Times New Roman"/>
          <w:color w:val="000000"/>
          <w:sz w:val="20"/>
        </w:rPr>
        <w:t xml:space="preserve">: Allowance for rebates include mandated discounts under the Medicaid Drug Rebate Program and TRICARE program. Rebates are amounts owed after the final dispensing of the product to a benefit plan participant and are based upon contractual agreements or statutory requirements. The allowance for rebates is based on contracted or statutory discount rates and expected utilization by benefit plan participants. Our estimates for expected utilization of rebates are based on utilization data received from the SDs and SP since product launch. Rebates are generally invoiced and paid in arrears so that the accrual balance consists of an estimate of the amount expected to be incurred for the current quarter’s activity. If actual future rebates vary from estimates, we may need to adjust prior period accruals, which would affect product sales in the period of adjustment.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pPr>
      <w:r>
        <w:rPr>
          <w:rFonts w:ascii="Times New Roman" w:hAnsi="Times New Roman"/>
          <w:i/>
          <w:color w:val="000000"/>
          <w:sz w:val="20"/>
        </w:rPr>
        <w:t xml:space="preserve">Chargebacks: </w:t>
      </w:r>
      <w:r>
        <w:rPr>
          <w:rFonts w:ascii="Times New Roman" w:hAnsi="Times New Roman"/>
          <w:color w:val="000000"/>
          <w:sz w:val="20"/>
        </w:rPr>
        <w:t xml:space="preserve">Chargebacks are discounts and fees that relate to contracts with government and other entities purchasing from the SDs and SP at a discounted price. The SDs and SP charge back to us the difference between the price initially paid by the SDs and SP and the discounted price paid to the SDs and SP by these entities. If actual future chargebacks vary from these estimates, we may need to adjust prior period accruals, which would affect product sales in the period of adjustment.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pPr>
      <w:r>
        <w:rPr>
          <w:rFonts w:ascii="Times New Roman" w:hAnsi="Times New Roman"/>
          <w:i/>
          <w:color w:val="000000"/>
          <w:sz w:val="20"/>
        </w:rPr>
        <w:t>Co-Payment Assistance:</w:t>
      </w:r>
      <w:r>
        <w:rPr>
          <w:color w:val="000000"/>
        </w:rPr>
        <w:t xml:space="preserve"> </w:t>
      </w:r>
      <w:r>
        <w:rPr>
          <w:rFonts w:ascii="Times New Roman" w:hAnsi="Times New Roman"/>
          <w:color w:val="000000"/>
          <w:sz w:val="20"/>
        </w:rPr>
        <w:t>We offer co-payment assistance to commercially insured patients meeting certain eligibility requirements. Co-payment assistance is accrued at the time of product sale to the SDs and SP based on estimated patient participation and average co-pay benefit to be paid per claim. Our estimated amounts are compared to actual program participation and co-pay amounts paid using data provided by third-party administrators. If actual amounts differ from the original estimates the assumptions being applied are updated and adjustment for prior period accruals will be adjusted in the current period.</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pPr>
      <w:r>
        <w:rPr>
          <w:rFonts w:ascii="Times New Roman" w:hAnsi="Times New Roman"/>
          <w:i/>
          <w:color w:val="000000"/>
          <w:sz w:val="20"/>
        </w:rPr>
        <w:t>Product Returns:</w:t>
      </w:r>
      <w:r>
        <w:rPr>
          <w:color w:val="000000"/>
        </w:rPr>
        <w:t xml:space="preserve"> </w:t>
      </w:r>
      <w:r>
        <w:rPr>
          <w:rFonts w:ascii="Times New Roman" w:hAnsi="Times New Roman"/>
          <w:color w:val="000000"/>
          <w:sz w:val="20"/>
        </w:rPr>
        <w:t xml:space="preserve">Consistent with industry practice, we offer the SDs and SP limited product return rights for damages, shipment errors, and expiring product, provided that the return is within a specified period around the product expiration date as set forth in the applicable individual distribution agreement. We do not allow product returns for product that has been dispensed to a patient. As we receive inventory reports from the SDs and SP and have the ability to control the amount of product that is sold to the SDs and SP, we estimate future potential product returns based on the on-hand channel inventory data and sell-through data obtained from the SDs and SP. In arriving at our estimate, we also consider historical product returns, the underlying product demand, and industry data specific to the specialty pharmaceutical distribution industry. </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lineRule="auto" w:line="331" w:before="200" w:after="283"/>
        <w:jc w:val="both"/>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Selling, general and administrative expenses consist primarily of salaries and related benefits, including share-based compensation, related to our executive, finance, business development, sales and marketing, and other corporate functions. Other general and administrative expenses include professional fees for legal, auditing, tax and business consulting services, insurance costs, intellectual property and patent costs, facility costs and travel costs.</w:t>
      </w:r>
    </w:p>
    <w:p>
      <w:pPr>
        <w:pStyle w:val="TextBody"/>
        <w:bidi w:val="0"/>
        <w:spacing w:lineRule="auto" w:line="331" w:before="20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Research and development expenses, which consist primarily of costs associated with our product research and development efforts, are expensed as incurred. Research and development expenses consist primarily of: (i) employee related costs, including salaries, benefits and share-based compensation expense for employees engaged in scientific research and development functions; (ii) third-party contract costs relating to research, formulation, manufacturing, nonclinical studies and clinical trial activities; (iii) external costs of outside consultants who assist with technology development, regulatory affairs, clinical development and quality assurance; (iv) payments made under our third-party licensing agreements; and (v) allocated facility-related costs.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related to the ADC Therapies. We will continue to incur significant research and development and other expenses related to such ongoing operations.</w:t>
      </w:r>
    </w:p>
    <w:p>
      <w:pPr>
        <w:pStyle w:val="TextBody"/>
        <w:bidi w:val="0"/>
        <w:spacing w:lineRule="auto" w:line="331" w:before="200" w:after="283"/>
        <w:jc w:val="both"/>
        <w:rPr>
          <w:rFonts w:ascii="Times New Roman" w:hAnsi="Times New Roman"/>
          <w:i/>
          <w:color w:val="000000"/>
          <w:sz w:val="20"/>
        </w:rPr>
      </w:pPr>
      <w:r>
        <w:rPr>
          <w:rFonts w:ascii="Times New Roman" w:hAnsi="Times New Roman"/>
          <w:i/>
          <w:color w:val="000000"/>
          <w:sz w:val="20"/>
        </w:rPr>
        <w:t>Cost of Goods Sold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Cost of goods sold consist primarily of royalties paid to BMS, costs incurred on sales of FYARRO and costs to manufacture and prepare the product for sales.</w:t>
      </w:r>
    </w:p>
    <w:p>
      <w:pPr>
        <w:pStyle w:val="TextBody"/>
        <w:bidi w:val="0"/>
        <w:spacing w:lineRule="auto" w:line="331" w:before="20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Other income (expense), net consists primarily of interest income earned on cash, cash equivalents and short-term investments, and foreign exchange loss for the three and six months ended June 30, 2026. During the three months ended June 30, 2025, other income includes interest income earned on cash, cash equivalents, and short-term investments, foreign exchange loss, and income received for billable services not part of our ordinary activities provided by our employees to KAKEN under a Transition Services Agreement ("TSA"). The TSA was entered into in connection with the sale of the business on March 25, 2025 and expired September 30, 2025. During the six months ended June 30, 2025, other income includes interest income earned on cash, cash equivalents, short-term investments, gain on sale of a business, foreign exchange loss, and income received for billable services not part of our ordinary activities provided by our employees to KAKEN under the TSA.</w:t>
      </w:r>
    </w:p>
    <w:p>
      <w:pPr>
        <w:pStyle w:val="TextBody"/>
        <w:bidi w:val="0"/>
        <w:spacing w:lineRule="auto" w:line="331" w:before="200" w:after="283"/>
        <w:jc w:val="both"/>
        <w:rPr>
          <w:rFonts w:ascii="Times New Roman" w:hAnsi="Times New Roman"/>
          <w:i/>
          <w:color w:val="000000"/>
          <w:sz w:val="20"/>
        </w:rPr>
      </w:pPr>
      <w:r>
        <w:rPr>
          <w:rFonts w:ascii="Times New Roman" w:hAnsi="Times New Roman"/>
          <w:i/>
          <w:color w:val="000000"/>
          <w:sz w:val="20"/>
        </w:rPr>
        <w:t>Income Tax Expense</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During the three and six months ended June 30, 2026 and 2025, we recognized no income tax expense on the condensed consolidated statements of operations and comprehensive loss. Since our formation in 2011, we have not recorded any U.S. federal or state income tax benefits for the net losses we have incurred in each year or our earned tax credits, due to our uncertainty of realizing a benefit from those items.</w:t>
      </w:r>
    </w:p>
    <w:p>
      <w:pPr>
        <w:pStyle w:val="TextBody"/>
        <w:bidi w:val="0"/>
        <w:spacing w:lineRule="auto" w:line="331" w:before="20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following table presents the results of operations for the periods indicated (in thousands):</w:t>
      </w:r>
    </w:p>
    <w:p>
      <w:pPr>
        <w:pStyle w:val="TextBody"/>
        <w:bidi w:val="0"/>
        <w:spacing w:lineRule="auto" w:line="331"/>
        <w:jc w:val="left"/>
        <w:rPr/>
      </w:pPr>
      <w:r>
        <w:rPr/>
        <w:t> </w:t>
      </w:r>
    </w:p>
    <w:tbl>
      <w:tblPr>
        <w:tblW w:w="8494" w:type="dxa"/>
        <w:jc w:val="left"/>
        <w:tblInd w:w="0" w:type="dxa"/>
        <w:tblLayout w:type="fixed"/>
        <w:tblCellMar>
          <w:top w:w="28" w:type="dxa"/>
          <w:left w:w="28" w:type="dxa"/>
          <w:bottom w:w="28" w:type="dxa"/>
          <w:right w:w="28" w:type="dxa"/>
        </w:tblCellMar>
      </w:tblPr>
      <w:tblGrid>
        <w:gridCol w:w="3156"/>
        <w:gridCol w:w="146"/>
        <w:gridCol w:w="216"/>
        <w:gridCol w:w="756"/>
        <w:gridCol w:w="170"/>
        <w:gridCol w:w="149"/>
        <w:gridCol w:w="216"/>
        <w:gridCol w:w="756"/>
        <w:gridCol w:w="166"/>
        <w:gridCol w:w="146"/>
        <w:gridCol w:w="211"/>
        <w:gridCol w:w="736"/>
        <w:gridCol w:w="166"/>
        <w:gridCol w:w="146"/>
        <w:gridCol w:w="211"/>
        <w:gridCol w:w="736"/>
        <w:gridCol w:w="41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3"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Product sales,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7,145</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7,145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5,216</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5,940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11,506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18,755</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12,893</w:t>
            </w:r>
          </w:p>
        </w:tc>
        <w:tc>
          <w:tcPr>
            <w:tcW w:w="17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48,809</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30,125</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57,597</w:t>
            </w:r>
          </w:p>
        </w:tc>
        <w:tc>
          <w:tcPr>
            <w:tcW w:w="411"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18,109</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77,112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(18,109</w:t>
            </w:r>
          </w:p>
        </w:tc>
        <w:tc>
          <w:tcPr>
            <w:tcW w:w="17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(54,749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(41,631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(69,967</w:t>
            </w:r>
          </w:p>
        </w:tc>
        <w:tc>
          <w:tcPr>
            <w:tcW w:w="41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1,469</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2,134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90,368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rPr>
            </w:pPr>
            <w:r>
              <w:rPr>
                <w:rFonts w:ascii="Times New Roman" w:hAnsi="Times New Roman"/>
                <w:b/>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(16,640</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(52,615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(38,834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20,401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both"/>
        <w:rPr/>
      </w:pPr>
      <w:r>
        <w:rPr/>
        <w:t> </w:t>
      </w:r>
    </w:p>
    <w:p>
      <w:pPr>
        <w:pStyle w:val="TextBody"/>
        <w:bidi w:val="0"/>
        <w:spacing w:lineRule="auto" w:line="331"/>
        <w:jc w:val="both"/>
        <w:rPr>
          <w:rFonts w:ascii="Times New Roman" w:hAnsi="Times New Roman"/>
          <w:b/>
          <w:i/>
          <w:color w:val="000000"/>
          <w:sz w:val="20"/>
        </w:rPr>
      </w:pPr>
      <w:r>
        <w:rPr>
          <w:rFonts w:ascii="Times New Roman" w:hAnsi="Times New Roman"/>
          <w:b/>
          <w:i/>
          <w:color w:val="000000"/>
          <w:sz w:val="20"/>
        </w:rPr>
        <w:t>Comparison of the Three and Six Months Ended June 30, 2026 and 2025</w:t>
      </w:r>
    </w:p>
    <w:p>
      <w:pPr>
        <w:pStyle w:val="TextBody"/>
        <w:bidi w:val="0"/>
        <w:spacing w:lineRule="auto" w:line="331" w:before="200" w:after="283"/>
        <w:jc w:val="both"/>
        <w:rPr>
          <w:rFonts w:ascii="Times New Roman" w:hAnsi="Times New Roman"/>
          <w:i/>
          <w:color w:val="000000"/>
          <w:sz w:val="20"/>
        </w:rPr>
      </w:pPr>
      <w:r>
        <w:rPr>
          <w:rFonts w:ascii="Times New Roman" w:hAnsi="Times New Roman"/>
          <w:i/>
          <w:color w:val="000000"/>
          <w:sz w:val="20"/>
        </w:rPr>
        <w:t>Product Sales, Net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product sales, net consist of sales of FYARRO. Product sales, net for the three months ended June 30, 2026 and 2025 were $0. Product sales, net for the six months ended June 30, 2026 and 2025, were $0 and $7.1 million, respectively. As a result of the FYARRO Divestiture, we no longer sell FYARRO as of March 25, 2025.</w:t>
      </w:r>
    </w:p>
    <w:p>
      <w:pPr>
        <w:pStyle w:val="TextBody"/>
        <w:bidi w:val="0"/>
        <w:spacing w:lineRule="auto" w:line="331" w:before="200" w:after="283"/>
        <w:jc w:val="both"/>
        <w:rPr>
          <w:rFonts w:ascii="Times New Roman" w:hAnsi="Times New Roman"/>
          <w:b/>
          <w:color w:val="000000"/>
          <w:sz w:val="20"/>
        </w:rPr>
      </w:pPr>
      <w:r>
        <w:rPr>
          <w:rFonts w:ascii="Times New Roman" w:hAnsi="Times New Roman"/>
          <w:b/>
          <w:color w:val="000000"/>
          <w:sz w:val="20"/>
        </w:rPr>
        <w:t>Operating Expenses</w:t>
      </w:r>
    </w:p>
    <w:p>
      <w:pPr>
        <w:pStyle w:val="TextBody"/>
        <w:bidi w:val="0"/>
        <w:spacing w:lineRule="auto" w:line="331" w:before="200" w:after="283"/>
        <w:jc w:val="both"/>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Selling, general and administrative expenses for the three months ended June 30, 2026 and 2025, were $5.2 million and $5.9 million, respectively. The decrease of $0.7 million was primarily driven by a decrease of $0.7 million in personnel expenses and $0.3 million in consulting and insurance expenses, offset by an increase of $0.3 million in legal and other expenses.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Selling, general and administrative expenses for the six months ended June 30, 2026 and 2025 were $11.5 million and $18.8 million, respectively. The decrease of $7.3 million was primarily driven by a decrease of $4.7 million in consulting and insurance expenses, $1.3 million in legal and other expenses, $1.0 million in personnel expenses, and $0.3 million in commercial and marketing expenses.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following table presents our research and development expenses for the periods indicated (in thousands):</w:t>
      </w:r>
    </w:p>
    <w:p>
      <w:pPr>
        <w:pStyle w:val="TextBody"/>
        <w:bidi w:val="0"/>
        <w:spacing w:lineRule="auto" w:line="331"/>
        <w:jc w:val="left"/>
        <w:rPr/>
      </w:pPr>
      <w:r>
        <w:rPr/>
        <w:t> </w:t>
      </w:r>
    </w:p>
    <w:tbl>
      <w:tblPr>
        <w:tblW w:w="8457" w:type="dxa"/>
        <w:jc w:val="left"/>
        <w:tblInd w:w="0" w:type="dxa"/>
        <w:tblLayout w:type="fixed"/>
        <w:tblCellMar>
          <w:top w:w="28" w:type="dxa"/>
          <w:left w:w="28" w:type="dxa"/>
          <w:bottom w:w="28" w:type="dxa"/>
          <w:right w:w="28" w:type="dxa"/>
        </w:tblCellMar>
      </w:tblPr>
      <w:tblGrid>
        <w:gridCol w:w="3496"/>
        <w:gridCol w:w="146"/>
        <w:gridCol w:w="231"/>
        <w:gridCol w:w="741"/>
        <w:gridCol w:w="160"/>
        <w:gridCol w:w="160"/>
        <w:gridCol w:w="231"/>
        <w:gridCol w:w="741"/>
        <w:gridCol w:w="146"/>
        <w:gridCol w:w="146"/>
        <w:gridCol w:w="211"/>
        <w:gridCol w:w="677"/>
        <w:gridCol w:w="146"/>
        <w:gridCol w:w="146"/>
        <w:gridCol w:w="211"/>
        <w:gridCol w:w="677"/>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Personnel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3,175</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2,301</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6,122</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6,102</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Consultants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849</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417</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1,674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799</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External clinical development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6,148</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41,737</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15,528</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44,126</w:t>
            </w:r>
          </w:p>
        </w:tc>
        <w:tc>
          <w:tcPr>
            <w:tcW w:w="19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Clinical drug product manufacturing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2,681</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4,280</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6,752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6,365</w:t>
            </w:r>
          </w:p>
        </w:tc>
        <w:tc>
          <w:tcPr>
            <w:tcW w:w="19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40</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205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12,893</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48,809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30,125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57,597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left"/>
        <w:rPr/>
      </w:pPr>
      <w:r>
        <w:rPr/>
        <w:t> </w:t>
      </w:r>
    </w:p>
    <w:p>
      <w:pPr>
        <w:pStyle w:val="TextBody"/>
        <w:bidi w:val="0"/>
        <w:spacing w:lineRule="auto" w:line="331"/>
        <w:jc w:val="both"/>
        <w:rPr>
          <w:rFonts w:ascii="Times New Roman" w:hAnsi="Times New Roman"/>
          <w:color w:val="000000"/>
          <w:sz w:val="20"/>
        </w:rPr>
      </w:pPr>
      <w:r>
        <w:rPr>
          <w:rFonts w:ascii="Times New Roman" w:hAnsi="Times New Roman"/>
          <w:color w:val="000000"/>
          <w:sz w:val="20"/>
        </w:rPr>
        <w:t>Research and development expenses for the three months ended June 30, 2026 and 2025 were $12.9 million and $48.8 million, respectively. The decrease of $35.9 million was primarily driven by a decrease of $35.6 million in external clinical development expense which included the $38.0 million up-front license fee paid to WuXi Biologics in 2025 and a decrease of $1.6 million in clinical drug manufacturing, offset by an increase of $0.9 million in personnel expenses and $0.4 million in consulting expenses.</w:t>
      </w:r>
    </w:p>
    <w:p>
      <w:pPr>
        <w:pStyle w:val="TextBody"/>
        <w:bidi w:val="0"/>
        <w:spacing w:lineRule="auto" w:line="331"/>
        <w:jc w:val="both"/>
        <w:rPr/>
      </w:pPr>
      <w:r>
        <w:rPr/>
        <w:t> </w:t>
      </w:r>
    </w:p>
    <w:p>
      <w:pPr>
        <w:pStyle w:val="TextBody"/>
        <w:bidi w:val="0"/>
        <w:spacing w:lineRule="auto" w:line="331"/>
        <w:jc w:val="both"/>
        <w:rPr>
          <w:rFonts w:ascii="Times New Roman" w:hAnsi="Times New Roman"/>
          <w:color w:val="000000"/>
          <w:sz w:val="20"/>
        </w:rPr>
      </w:pPr>
      <w:r>
        <w:rPr>
          <w:rFonts w:ascii="Times New Roman" w:hAnsi="Times New Roman"/>
          <w:color w:val="000000"/>
          <w:sz w:val="20"/>
        </w:rPr>
        <w:t>Research and development expenses for the six months ended June 30, 2026 and 2025 were $30.1 million and $57.6 million, respectively. The decrease of $27.5 million was primarily driven by a decrease of $28.6 million in external clinical development expense which included the $38.0 million up-front license fee paid to WuXi Biologics in 2025, $0.2 million in other expenses, offset by an increase of $0.9 million in consulting expenses and $0.4 million in clinical drug product manufacturing. For the six months ended June 30, 2026, external clinical development includes $5.3 million in milestone development expenses.</w:t>
      </w:r>
    </w:p>
    <w:p>
      <w:pPr>
        <w:pStyle w:val="TextBody"/>
        <w:bidi w:val="0"/>
        <w:spacing w:lineRule="auto" w:line="331" w:before="200" w:after="283"/>
        <w:jc w:val="both"/>
        <w:rPr>
          <w:rFonts w:ascii="Times New Roman" w:hAnsi="Times New Roman"/>
          <w:i/>
          <w:color w:val="000000"/>
          <w:sz w:val="20"/>
        </w:rPr>
      </w:pPr>
      <w:r>
        <w:rPr>
          <w:rFonts w:ascii="Times New Roman" w:hAnsi="Times New Roman"/>
          <w:i/>
          <w:color w:val="000000"/>
          <w:sz w:val="20"/>
        </w:rPr>
        <w:t>Cost of Goods Sold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Cost of goods sold was $0 for the three months ended June 30, 2026 and 2025. Cost of goods sold was $0 and $0.8 million for the six months ended June 30, 2026 and 2025, respectively, primarily reflecting royalties incurred on product sold. The decrease of cost of goods sold was due to the FYARRO Divestiture on March 25, 2025.</w:t>
      </w:r>
    </w:p>
    <w:p>
      <w:pPr>
        <w:pStyle w:val="TextBody"/>
        <w:bidi w:val="0"/>
        <w:spacing w:lineRule="auto" w:line="331" w:before="200" w:after="283"/>
        <w:jc w:val="both"/>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Other income (expense), net for the three months ended June 30, 2026 and 2025 was $1.5 million and $2.1 million, respectively. The decrease of $0.6 million was primarily driven by a decrease in short-term investments held.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Other income (expense), net for the six months ended June 30, 2026 and 2025 was $2.8 million and $90.4 million, respectively. The decrease of $87.6 million was primarily driven by a gain on sale of a business related to the FYARRO Divestiture recognized during the six months ended June 30, 2025.</w:t>
      </w:r>
    </w:p>
    <w:p>
      <w:pPr>
        <w:pStyle w:val="TextBody"/>
        <w:bidi w:val="0"/>
        <w:spacing w:lineRule="auto" w:line="331" w:before="20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Overview</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As of June 30, 2026 we had $190.0 million of cash, cash equivalents and short-term investments. Based on our current plans, we believe our existing cash, cash equivalents and short-term investments will enable us to conduct our planned operations into the second half of 2028.</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As of June 30, 2026, we had an accumulated deficit of $392.1 million. Our net loss was $38.8 million and net income of $20.4 million for the six months ended June 30, 2026 and 2025, respectively. We have incurred net losses in each year since inception except for the six months ended June 30, 2025 as we incurred net income due to the sale of a business. Losses have resulted principally from costs incurred in connection with research and development activities and selling, general and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administrative costs associated with our operations. We expect to continue to incur significant expenses and operating losses for the foreseeable future due to the cost of research and development, including conducting preclinical and clinical trials of the ADC Therapies and identifying and designing product candidates and the regulatory approval process for any product candidates we may develop.</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On March 17, 2022, we entered into a Sales Agreement (the “Sales Agreement”) with Cowen and Company, LLC (“Cowen”), with respect to an “at the market offering” pursuant to which we may offer and sell, from time to time at our sole discretion, shares of our common stock having aggregate gross proceeds of up to $75.0 million through Cowen as our sales agent. Under the Sales Agreement, we will set the parameters for the sale of shares, including the number of shares to be issued, the time period during which sales are requested to be made, limitations on the number or dollar value of shares that may be sold in any one trading day and any minimum price below which sales may not be made. We will pay Cowen 3.0% of the aggregate gross proceeds from each sale of shares of common stock under the Sales Agreement. As of June 30, 2026, no shares of common stock had been sold under the Sales Agreement.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shares of our common stock to be offered and sold under the Sales Agreement will be issued and sold pursuant to our shelf registration statement on the Form S-3 (File No. 333-277018) (the “Shelf Registration Statement”), which was filed with the SEC on February 12, 2024 and which became effective April 30, 2024. No securities have yet been sold under the Shelf Registration Statement. We filed a prospectus supplement with the SEC on April 25, 2025 in connection with the offer and sale of the shares pursuant to the Sales Agreement.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Shelf Registration Statement allows us to sell from time to time up to $150.0 million of common stock, preferred stock, debt securities, warrants, or units comprised of any combination of these securities, for our own account in one or more offerings and is intended to provide us flexibility to conduct registered sales of our securities, subject to market conditions and our future capital needs. The terms of any offering thereunder will be established at the time of such offering and will be described in a prospectus supplement filed with the SEC prior to the completion of any such offering.</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On September 22, 2022, we entered into the purchase agreement for the 2022 PIPE Financing with the 2022 PIPE Investors for the sale of 3,373,526 shares of our common stock for a price of $12.50 per share and Pre-Funded Warrants (the "2022 Pre-funded Warrants") to purchase an aggregate of 2,426,493 shares of our common stock, at a purchase price of $12.4999 per 2022 Pre-Funded Warrant. The 2022 Pre-Funded Warrants are exercisable at an exercise price of $0.0001 and will be exercisable until exercised in full. The 2022 PIPE Financing closed on September 26, 2022. Aggregated net proceeds, after deducting certain expenses incurred of $0.3 million related to the issuance of the securities, were $72.2 million. As of June 30, 2026, 2,000,037 of the 2022 Pre-Funded Warrants are still outstanding.</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On December 19, 2024, we entered into the Subscription Agreement (the "Subscription Agreement") with certain investors (the "2024 PIPE Investors"), pursuant to which we agreed to sell to the 2024 PIPE Investors (i) 21,592,000 shares of the our common stock, par value $0.0001 per share, at a purchase price of $2.40 per share, and (ii) pre-funded warrants to purchase an aggregate of 20,076,500 shares of our common stock (the "2024 Pre-Funded Warrants"), at a purchase price of $2.3999 per 2024 Pre-Funded Warrant, for aggregate net proceeds of $94.4 million, after deducting certain expenses incurred of $5.6 million related to the issuance of shares. The 2024 PIPE Financing closed on March 4, 2025. As of June 30, 2026, 16,866,574 of the 2024 Pre-Funded Warrants are still outstanding.</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On May 13, 2026, we entered into a securities purchase agreement for a private investment in public equity financing (the "2026 PIPE Financing") with certain investors (the "2026 PIPE Investors"), pursuant to which we agreed to sell to the 2026 PIPE Investors (i) 4,330,866 shares of our common stock, par value $0.0001 per share, at a purchase price of $3.92 per share, and (ii) pre-funded warrants to purchase an aggregate of 17,991,021 shares of our common stock (the "2026 Pre-Funded Warrants" and together with the 2022 Pre-Funded Warrants and 2024 Pre-Funded Warrants, the "Pre-Funded Warrants"), at a purchase price of $3.9199 per 2026 Pre-Funded Warrant, for aggregate net proceeds of $81.8 million, after deducting certain expenses incurred of $5.7 million related to the issuance of shares. As of June 30, 2026, all 17,991,021 of the 2026 Pre-Funded Warrants were outstanding.</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For each of the 2022 PIPE Financing, 2024 PIPE Financing and 2026 PIPE Financing, the Pre-Funded Warrants have an exercise price of $0.0001 per share of the Company's common stock and are exercisable and will remain exercisable until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exercised in full. The holders of such Pre-Funded Warrants may not exercise a Pre-Funded Warrant if the holder, together with its affiliates, would beneficially own more than 4.99% or 9.99%, at the election of the holder, of the number of shares of the Company's common stock outstanding immediately after giving effect to such exercise. The holders of such Pre-Funded Warrants may increase or decrease such percentages not in excess of 19.99% by providing at least 61 days’ prior notice.</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following table summarizes our cash flows for the periods indicated (in thousands):</w:t>
      </w:r>
    </w:p>
    <w:p>
      <w:pPr>
        <w:pStyle w:val="TextBody"/>
        <w:bidi w:val="0"/>
        <w:spacing w:lineRule="auto" w:line="331"/>
        <w:jc w:val="both"/>
        <w:rPr/>
      </w:pPr>
      <w:r>
        <w:rPr/>
        <w:t> </w:t>
      </w:r>
    </w:p>
    <w:tbl>
      <w:tblPr>
        <w:tblW w:w="6074" w:type="dxa"/>
        <w:jc w:val="left"/>
        <w:tblInd w:w="0" w:type="dxa"/>
        <w:tblLayout w:type="fixed"/>
        <w:tblCellMar>
          <w:top w:w="28" w:type="dxa"/>
          <w:left w:w="28" w:type="dxa"/>
          <w:bottom w:w="28" w:type="dxa"/>
          <w:right w:w="28" w:type="dxa"/>
        </w:tblCellMar>
      </w:tblPr>
      <w:tblGrid>
        <w:gridCol w:w="3466"/>
        <w:gridCol w:w="146"/>
        <w:gridCol w:w="211"/>
        <w:gridCol w:w="736"/>
        <w:gridCol w:w="166"/>
        <w:gridCol w:w="146"/>
        <w:gridCol w:w="211"/>
        <w:gridCol w:w="78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(36,737</w:t>
            </w:r>
          </w:p>
        </w:tc>
        <w:tc>
          <w:tcPr>
            <w:tcW w:w="1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(64,821</w:t>
            </w:r>
          </w:p>
        </w:tc>
        <w:tc>
          <w:tcPr>
            <w:tcW w:w="211"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2,563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86,672</w:t>
            </w:r>
          </w:p>
        </w:tc>
        <w:tc>
          <w:tcPr>
            <w:tcW w:w="21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81,840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94,351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47,666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Times New Roman" w:hAnsi="Times New Roman"/>
                <w:color w:val="000000"/>
                <w:sz w:val="20"/>
              </w:rPr>
            </w:pPr>
            <w:r>
              <w:rPr>
                <w:rFonts w:ascii="Times New Roman" w:hAnsi="Times New Roman"/>
                <w:color w:val="000000"/>
                <w:sz w:val="20"/>
              </w:rPr>
              <w:t>116,202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331"/>
        <w:jc w:val="both"/>
        <w:rPr/>
      </w:pPr>
      <w:r>
        <w:rPr/>
        <w:t> </w:t>
      </w:r>
    </w:p>
    <w:p>
      <w:pPr>
        <w:pStyle w:val="TextBody"/>
        <w:bidi w:val="0"/>
        <w:spacing w:lineRule="auto" w:line="331"/>
        <w:jc w:val="both"/>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cash used in operating activities primarily results from our net loss adjusted for non-cash expenses, changes in working capital components, amounts due to contract research organizations to conduct our clinical programs and employee-related expenditures for research and development and selling, general and administrative activities. Our cash flows from operating activities will continue to be affected by spending to advance our research and development of the ADC Therapies and identifying and designing product candidates and the regulatory approval process for any product candidates we may develop.</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For the six months ended June 30, 2026, cash used in operating activities was $36.7 million and resulted from (i) our net loss of $38.8 million, (ii) a $0.9 million net negative impact on cash used due to changes in net operating assets and liabilities, and (iii) $3.0 million of non-cash adjustments, which were primarily related to share based compensation, depreciation, and discount amortization on short-term investments.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For the six months ended June 30, 2025, cash used in operating activities was $64.8 million and resulted from (i) our net income of $20.4 million, (ii) a $2.7 million net negative impact on cash used due to changes in net operating assets and liabilities, and (iii) $82.5 million of non-cash adjustments, which were primarily related to gain on sale of a business, share based compensation, discount amortization on short-term investments, lease expense, and depreciation.</w:t>
      </w:r>
    </w:p>
    <w:p>
      <w:pPr>
        <w:pStyle w:val="TextBody"/>
        <w:bidi w:val="0"/>
        <w:spacing w:lineRule="auto" w:line="331" w:before="200" w:after="283"/>
        <w:jc w:val="both"/>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Cash provided by investing activities for the six months ended June 30, 2026 related to the maturities of short-term investments of $72.4 million, offset by purchases of short-term investments of $69.8 million.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Cash provided by investing activities for the six months ended June 30, 2025 related to proceeds from the sale of business, maturities of short-term investments of $18.1 million, offset by purchases of short-term investments of $32.2 million and purchases of property and equipment of $0.6 million.</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For the six months ended June 30, 2026 cash provided by financing activities was $81.8 million and resulted from $87.5 million in proceeds received from the sale of common stock and pre-funded warrants as part of the 2026 PIPE Financing, offset by payment of 2026 PIPE Financing related transaction costs of $5.7 million.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For the six months ended June 30, 2025 cash provided by financing activities was $94.4 million and resulted from $100.0 million of proceeds received in the 2024 PIPE Financing (which closed in March 2025), offset by payment of 2024 PIPE Financing related transaction costs of $5.6 million. </w:t>
      </w:r>
    </w:p>
    <w:p>
      <w:pPr>
        <w:pStyle w:val="TextBody"/>
        <w:bidi w:val="0"/>
        <w:spacing w:lineRule="auto" w:line="331" w:before="200" w:after="283"/>
        <w:jc w:val="both"/>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April 2022, we entered into a lease for 10,615 square feet of office space in Morristown, New Jersey. The term of the lease is seventy-three months unless terminated sooner. In connection with the FYARRO Divestiture, KAKEN assumed our sublease for the New Jersey office space, but we agreed to co-inhabit the office with KAKEN. We and KAKEN are currently in the process of extending the co-inhabitation arrangement upon the sublandlord's and landlord's consent.</w:t>
      </w:r>
    </w:p>
    <w:p>
      <w:pPr>
        <w:pStyle w:val="TextBody"/>
        <w:bidi w:val="0"/>
        <w:spacing w:lineRule="auto" w:line="331" w:before="200" w:after="283"/>
        <w:jc w:val="both"/>
        <w:rPr>
          <w:rFonts w:ascii="Times New Roman" w:hAnsi="Times New Roman"/>
          <w:sz w:val="20"/>
        </w:rPr>
      </w:pPr>
      <w:r>
        <w:rPr>
          <w:rFonts w:ascii="Times New Roman" w:hAnsi="Times New Roman"/>
          <w:color w:val="000000"/>
          <w:sz w:val="20"/>
        </w:rPr>
        <w:t>In August 2021, we entered into an amendment to extend the lease of our 2,760 square feet of office space in Pacific Palisades, California. We</w:t>
      </w:r>
      <w:r>
        <w:rPr>
          <w:rFonts w:ascii="Times New Roman" w:hAnsi="Times New Roman"/>
          <w:color w:val="231F20"/>
          <w:sz w:val="20"/>
        </w:rPr>
        <w:t xml:space="preserve"> exercised an option, under our prior lease agreement, to extend the term of the lease for an additional three-year period. Included in the renewal were nine months of rent abatement and a rent escalation clause. </w:t>
      </w:r>
      <w:r>
        <w:rPr>
          <w:rFonts w:ascii="Times New Roman" w:hAnsi="Times New Roman"/>
          <w:color w:val="000000"/>
          <w:sz w:val="20"/>
        </w:rPr>
        <w:t>The Pacific Palisades lease expired on February 28, 2025.</w:t>
      </w:r>
    </w:p>
    <w:p>
      <w:pPr>
        <w:pStyle w:val="TextBody"/>
        <w:bidi w:val="0"/>
        <w:spacing w:lineRule="auto" w:line="331" w:before="200" w:after="283"/>
        <w:jc w:val="both"/>
        <w:rPr>
          <w:rFonts w:ascii="Times New Roman" w:hAnsi="Times New Roman"/>
          <w:sz w:val="20"/>
        </w:rPr>
      </w:pPr>
      <w:r>
        <w:rPr>
          <w:rFonts w:ascii="Times New Roman" w:hAnsi="Times New Roman"/>
          <w:color w:val="231F20"/>
          <w:sz w:val="20"/>
        </w:rPr>
        <w:t>Rent expense is being recorded on a straight-line basis. Rent expense related to the New Jersey office space was $35 thousand and $34 thousand for the three months ended June 30, 2026 and 2025, respectively</w:t>
      </w:r>
      <w:r>
        <w:rPr>
          <w:rFonts w:ascii="Times New Roman" w:hAnsi="Times New Roman"/>
          <w:color w:val="000000"/>
          <w:sz w:val="20"/>
        </w:rPr>
        <w:t>. Rent expense was $46 thousand and $0.1 million for the six months ended June 30, 2026 and 2025, respectively. See Note 6 to the condensed consolidated financial statements for additional details.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also have contracts with various organizations to conduct research and development activities, including clinical trial organizations to manage clinical trial activities. The scope of the services under these research and development contracts can be modified and the contracts cancelled by us upon written notice. In the event of cancellation, we would be liable for the cost and expenses incurred to date as well as any close out costs of the service arrangement.</w:t>
      </w:r>
    </w:p>
    <w:p>
      <w:pPr>
        <w:pStyle w:val="TextBody"/>
        <w:bidi w:val="0"/>
        <w:spacing w:lineRule="auto" w:line="331" w:before="200" w:after="283"/>
        <w:jc w:val="both"/>
        <w:rPr>
          <w:rFonts w:ascii="Times New Roman" w:hAnsi="Times New Roman"/>
          <w:sz w:val="20"/>
        </w:rPr>
      </w:pPr>
      <w:r>
        <w:rPr>
          <w:rFonts w:ascii="Times New Roman" w:hAnsi="Times New Roman"/>
          <w:color w:val="000000"/>
          <w:sz w:val="20"/>
        </w:rPr>
        <w:t xml:space="preserve">On December 19, 2024, we entered into the License Agreement with WuXi Biologics for exclusive rights to certain patents and know-how pertaining to WuXi Biologics’ preclinical ADC Therapies leveraging Hangzhou DAC linker-payload technology targeting each of MUC16, PTK7 and SEZ6. Under the License Agreement, we paid $6.0 million and $38.0 million to WuXi Biologics in the fourth quarter of 2024 and the second quarter of 2025, respectively, </w:t>
      </w:r>
      <w:r>
        <w:rPr>
          <w:rFonts w:ascii="Times New Roman" w:hAnsi="Times New Roman"/>
          <w:color w:val="231F20"/>
          <w:sz w:val="20"/>
        </w:rPr>
        <w:t xml:space="preserve">plus a 6% VAT fee, </w:t>
      </w:r>
      <w:r>
        <w:rPr>
          <w:rFonts w:ascii="Times New Roman" w:hAnsi="Times New Roman"/>
          <w:color w:val="000000"/>
          <w:sz w:val="20"/>
        </w:rPr>
        <w:t xml:space="preserve">in each case, for the rights and licenses granted to us by WuXi Biologics. </w:t>
      </w:r>
      <w:r>
        <w:rPr>
          <w:rFonts w:ascii="Times New Roman" w:hAnsi="Times New Roman"/>
          <w:color w:val="231F20"/>
          <w:sz w:val="20"/>
        </w:rPr>
        <w:t xml:space="preserve">Additionally, we paid </w:t>
      </w:r>
      <w:r>
        <w:rPr>
          <w:rFonts w:ascii="Times New Roman" w:hAnsi="Times New Roman"/>
          <w:color w:val="000000"/>
          <w:sz w:val="20"/>
        </w:rPr>
        <w:t>$5.3 million of development milestone-related expense under the License Agreement in the first quarter of 2026.</w:t>
      </w:r>
    </w:p>
    <w:p>
      <w:pPr>
        <w:pStyle w:val="TextBody"/>
        <w:bidi w:val="0"/>
        <w:spacing w:lineRule="auto" w:line="331" w:before="20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condensed consolidated financial statements are prepared in accordance with U.S. generally accepted accounting principles (“GAAP”). These accounting principles require us to make certain estimates, judgments and assumptions that affect the reported amounts of assets and liabilities as of the date of the financial statements, as well as the reported amounts of revenues and expenses during the periods presented. We believe that the estimates, judgments and assumptions are reasonable based upon information available to us at the time that these estimates, judgments and assumptions are made. To the extent there are material differences between these estimates, judgments or assumptions and actual results, our financial statements will be affected. Historically, revisions to our estimates have not resulted in a material change to our financial statements.</w:t>
      </w:r>
    </w:p>
    <w:p>
      <w:pPr>
        <w:pStyle w:val="TextBody"/>
        <w:bidi w:val="0"/>
        <w:spacing w:lineRule="auto" w:line="331" w:before="200" w:after="283"/>
        <w:jc w:val="both"/>
        <w:rPr>
          <w:rFonts w:ascii="Times New Roman" w:hAnsi="Times New Roman"/>
          <w:sz w:val="20"/>
        </w:rPr>
      </w:pPr>
      <w:r>
        <w:rPr>
          <w:rFonts w:ascii="Times New Roman" w:hAnsi="Times New Roman"/>
          <w:color w:val="000000"/>
          <w:sz w:val="20"/>
        </w:rPr>
        <w:t xml:space="preserve">For a discussion of our critical accounting estimates, please read Part II, Item 7.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xml:space="preserve"> in our Annual Report on Form 10-K for the year ended December 31, 2025 filed with the SEC on March 12, 2026. There have been no material changes to the critical accounting estimates previously disclosed in our Annual Report on Form 10-K. </w:t>
      </w:r>
    </w:p>
    <w:p>
      <w:pPr>
        <w:pStyle w:val="TextBody"/>
        <w:bidi w:val="0"/>
        <w:spacing w:lineRule="auto" w:line="331" w:before="200" w:after="283"/>
        <w:jc w:val="both"/>
        <w:rPr>
          <w:rFonts w:ascii="Times New Roman" w:hAnsi="Times New Roman"/>
          <w:b/>
          <w:color w:val="000000"/>
          <w:sz w:val="20"/>
        </w:rPr>
      </w:pPr>
      <w:bookmarkStart w:id="11" w:name="item3_quantitative_and_qualitative"/>
      <w:bookmarkEnd w:id="11"/>
      <w:r>
        <w:rPr>
          <w:rFonts w:ascii="Times New Roman" w:hAnsi="Times New Roman"/>
          <w:b/>
          <w:color w:val="000000"/>
          <w:sz w:val="20"/>
        </w:rPr>
        <w:t>Item 3. Quantitative and Qualitative Disclosures About Market Risk.</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information under this Item.</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b/>
          <w:color w:val="000000"/>
          <w:sz w:val="20"/>
        </w:rPr>
      </w:pPr>
      <w:bookmarkStart w:id="12" w:name="item4_controls_and_procedures"/>
      <w:bookmarkEnd w:id="12"/>
      <w:r>
        <w:rPr>
          <w:rFonts w:ascii="Times New Roman" w:hAnsi="Times New Roman"/>
          <w:b/>
          <w:color w:val="000000"/>
          <w:sz w:val="20"/>
        </w:rPr>
        <w:t>Item 4. Controls and Procedures.</w:t>
      </w:r>
    </w:p>
    <w:p>
      <w:pPr>
        <w:pStyle w:val="TextBody"/>
        <w:bidi w:val="0"/>
        <w:spacing w:lineRule="auto" w:line="331" w:before="200" w:after="283"/>
        <w:jc w:val="both"/>
        <w:rPr>
          <w:rFonts w:ascii="Times New Roman" w:hAnsi="Times New Roman"/>
          <w:b/>
          <w:i/>
          <w:color w:val="222222"/>
          <w:sz w:val="20"/>
        </w:rPr>
      </w:pPr>
      <w:r>
        <w:rPr>
          <w:rFonts w:ascii="Times New Roman" w:hAnsi="Times New Roman"/>
          <w:b/>
          <w:i/>
          <w:color w:val="222222"/>
          <w:sz w:val="20"/>
        </w:rPr>
        <w:t>Management’s Evaluation of our Disclosure Controls and Procedures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Under the supervision of and with the participation of our management, including our principal executive officer and principal financial officer, we conducted an evaluation of the effectiveness of our disclosure controls and procedures as of June 30, 2026, the end of the period covered by this Quarterly Report. The term “disclosure controls and procedures,” as set forth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Based on this evaluation, management concluded that our disclosure controls and procedures were effective at the reasonable assurance level as of June 30, 2026.</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 13a-15(d) and 15d-15(d) of the Exchange Act during the quarter ended June 30, 2026 that have materially affected, or are reasonably likely to materially affect, our internal control over financial reporting.</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Limitations on the Effectiveness of Controls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lineRule="auto" w:line="331" w:before="200" w:after="283"/>
        <w:jc w:val="both"/>
        <w:rPr>
          <w:rFonts w:ascii="Times New Roman" w:hAnsi="Times New Roman"/>
          <w:sz w:val="20"/>
        </w:rPr>
      </w:pPr>
      <w:bookmarkStart w:id="14" w:name="section42"/>
      <w:bookmarkEnd w:id="14"/>
      <w:r>
        <w:rPr>
          <w:rFonts w:ascii="Times New Roman" w:hAnsi="Times New Roman"/>
          <w:b/>
          <w:color w:val="000000"/>
          <w:sz w:val="20"/>
        </w:rPr>
        <w:t>Item 1. L</w:t>
      </w:r>
      <w:bookmarkStart w:id="15" w:name="item_1_legal_proceedings"/>
      <w:bookmarkEnd w:id="15"/>
      <w:r>
        <w:rPr>
          <w:rFonts w:ascii="Times New Roman" w:hAnsi="Times New Roman"/>
          <w:b/>
          <w:color w:val="000000"/>
          <w:sz w:val="20"/>
        </w:rPr>
        <w:t>egal Proceedings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For discussion of legal proceedings, see Item 1 of Part I, “Condensed Consolidated Financial Statements - Note 12” in this Quarterly Report.</w:t>
      </w:r>
    </w:p>
    <w:p>
      <w:pPr>
        <w:pStyle w:val="TextBody"/>
        <w:bidi w:val="0"/>
        <w:spacing w:lineRule="auto" w:line="331" w:before="200" w:after="283"/>
        <w:jc w:val="both"/>
        <w:rPr>
          <w:rFonts w:ascii="Times New Roman" w:hAnsi="Times New Roman"/>
          <w:sz w:val="20"/>
        </w:rPr>
      </w:pPr>
      <w:bookmarkStart w:id="16" w:name="section43"/>
      <w:bookmarkEnd w:id="16"/>
      <w:r>
        <w:rPr>
          <w:rFonts w:ascii="Times New Roman" w:hAnsi="Times New Roman"/>
          <w:b/>
          <w:color w:val="000000"/>
          <w:sz w:val="20"/>
        </w:rPr>
        <w:t xml:space="preserve">Item 1A. </w:t>
      </w:r>
      <w:bookmarkStart w:id="17" w:name="item_1a_risk_factors"/>
      <w:bookmarkEnd w:id="17"/>
      <w:r>
        <w:rPr>
          <w:rFonts w:ascii="Times New Roman" w:hAnsi="Times New Roman"/>
          <w:b/>
          <w:color w:val="000000"/>
          <w:sz w:val="20"/>
        </w:rPr>
        <w:t>Risk Factors</w:t>
      </w:r>
      <w:r>
        <w:rPr>
          <w:rFonts w:ascii="Times New Roman" w:hAnsi="Times New Roman"/>
          <w:color w:val="000000"/>
          <w:sz w:val="20"/>
        </w:rPr>
        <w:t xml:space="preserve"> </w:t>
      </w:r>
    </w:p>
    <w:p>
      <w:pPr>
        <w:pStyle w:val="TextBody"/>
        <w:bidi w:val="0"/>
        <w:spacing w:lineRule="auto" w:line="331" w:before="120" w:after="283"/>
        <w:jc w:val="both"/>
        <w:rPr>
          <w:rFonts w:ascii="Times New Roman" w:hAnsi="Times New Roman"/>
          <w:i/>
          <w:color w:val="000000"/>
          <w:sz w:val="20"/>
        </w:rPr>
      </w:pPr>
      <w:r>
        <w:rPr>
          <w:rFonts w:ascii="Times New Roman" w:hAnsi="Times New Roman"/>
          <w:i/>
          <w:color w:val="000000"/>
          <w:sz w:val="20"/>
        </w:rPr>
        <w:t>Investing in our common stock involves significant risks, some of which are described below. In evaluating our business, investors should carefully consider the following risk factors. These risks and uncertainties summarized above and described below are not intended to be exhaustive and are not the only ones we face. Additional risks and uncertainties not presently known to us or that we presently deem immaterial may also impair our business operations. Please see the "Cautionary Statement Regarding Forward Looking Statements" section of this Quarterly Report for a discussion of some of the forward-looking statements that are qualified by these risk factors. If any of the following risks actually occur, our business, financial condition, results of operations and future growth prospects could be materially and adversely affected. These disclosures reflect our beliefs and opinions as to factors that could materially and adversely affect our company and our securities in the future. References to past events are provided by way of example only and are not intended to be a complete listing or a representation as to whether or not such factors have occurred in the past or their likelihood of occurring in the future.</w:t>
      </w:r>
    </w:p>
    <w:p>
      <w:pPr>
        <w:pStyle w:val="TextBody"/>
        <w:bidi w:val="0"/>
        <w:spacing w:lineRule="auto" w:line="331" w:before="200" w:after="283"/>
        <w:jc w:val="both"/>
        <w:rPr>
          <w:rFonts w:ascii="Times New Roman" w:hAnsi="Times New Roman"/>
          <w:sz w:val="20"/>
        </w:rPr>
      </w:pPr>
      <w:r>
        <w:rPr>
          <w:rFonts w:ascii="Times New Roman" w:hAnsi="Times New Roman"/>
          <w:b/>
          <w:color w:val="000000"/>
          <w:sz w:val="20"/>
        </w:rPr>
        <w:t>Risk Factors Summary</w:t>
      </w:r>
      <w:r>
        <w:rPr>
          <w:rFonts w:ascii="Times New Roman" w:hAnsi="Times New Roman"/>
          <w:color w:val="000000"/>
          <w:sz w:val="20"/>
        </w:rPr>
        <w:t xml:space="preserv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business is subject to numerous risks and uncertainties that you should be aware of in evaluating our business, including, but not limited to, the following:</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are a clinical-stage biopharmaceutical company, have a limited operating history and have two clinical products and one preclinical product in development, which may make it difficult for you to evaluate our current business and likelihood of success and viability.</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We have incurred significant net losses since our inception, and we expect to continue to incur significant net losses for the foreseeable future.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ability to generate revenue and achieve profitability depends significantly on our ability to achieve several objectives relating to the discovery, development and commercialization of the ADC Therapies and any other product candidates that we may develop.</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may be unable to obtain United States or foreign regulatory approval for the ADC Therapies or any other product candidates that we may develop and, as a result, may be unable to commercialize any such product candidates and in such event our business will be substantially harmed.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231F20"/>
          <w:sz w:val="20"/>
        </w:rPr>
      </w:pPr>
      <w:r>
        <w:rPr>
          <w:rFonts w:ascii="Times New Roman" w:hAnsi="Times New Roman"/>
          <w:color w:val="231F20"/>
          <w:sz w:val="20"/>
        </w:rPr>
        <w:t>We may not be successful in growing our product pipeline through acquisitions and in-licenses.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contract with qualified third parties for the production of preclinical and clinical product supplies, and expect to continue to do so for supplies needed for all of our anticipated clinical trials. This reliance on third parties increases the risk that we will not have sufficient quality and quantities of product supplies to meet demand or otherwise or such quantities at an acceptable cost, which could delay, prevent or impair our development or commercialization efforts.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are currently dependent on single-source suppliers for our product candidates and their components, including Hangzhou DAC and WuXi Biologics.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If we cannot replicate the results from our earlier preclinical studies and clinical trials of our product candidates in our later preclinical studies and clinical trials, we may be unable to successfully develop, obtain regulatory approval for and commercialize our product candidates.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If we experience delays or difficulties in the enrollment and/or maintenance of patients in clinical trials, our regulatory submissions or receipt of necessary regulatory approvals could be delayed or prevented.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have limited resources and are currently focusing our efforts on developing the ADC Therapies for particular indications. As a result, we may fail to capitalize on other indications or product candidates that may ultimately prove to be more profitable or to have a greater likelihood of success.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market opportunities for the ADC Therapies and other product candidates we may develop, if approved, may be limited to certain smaller patient subsets.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success is highly dependent on our ability to attract and retain highly skilled executive officers, key scientific personnel and employees. If we fail to attract and retain such personnel, we may be unable to continue to successfully develop or commercialize our product or any future product candidates or otherwise implement our business plan, including consummating potential strategic transactions.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success depends on our ability to protect and strengthen our intellectual property and our proprietary technologies, including our ability to obtain patent term extension for our product or any future product candidates.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depend on intellectual property licensed from third parties and termination of any of these licenses could result in the loss of significant rights, which would harm our business.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rely, and expect to continue to rely, on third parties to conduct our preclinical studies and clinical trials and those third parties may not perform satisfactorily.</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business is subject to the risks associated with doing business in China. For example, the BIOSECURE Act recently signed into law as part of the 2026 National Defense Authorization Act, among other things, restricts federal government contracts, grants, and loans from being issued to companies that use biotechnology equipment or services produced or provided by select Chinese “biotechnology companies of concern,” and some of our business partners such as WuXi Biologics may be designated as biotechnology companies of concern when applicable implementing regulations, anticipated no later than the third quarter of 2028, come into effect.</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U.S.-China trade relations may adversely impact our supply chain operations and business.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Litigation and legal proceedings may substantially increase our costs and harm our business, irrespective of outcome, including any securities class action litigation that might occur in connection with potential strategic transactions.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stock price is volatile.</w:t>
      </w:r>
    </w:p>
    <w:p>
      <w:pPr>
        <w:pStyle w:val="TextBody"/>
        <w:bidi w:val="0"/>
        <w:spacing w:lineRule="auto" w:line="331" w:before="200" w:after="283"/>
        <w:jc w:val="left"/>
        <w:rPr>
          <w:rFonts w:ascii="Times New Roman" w:hAnsi="Times New Roman"/>
          <w:b/>
          <w:color w:val="231F20"/>
          <w:sz w:val="20"/>
        </w:rPr>
      </w:pPr>
      <w:r>
        <w:rPr>
          <w:rFonts w:ascii="Times New Roman" w:hAnsi="Times New Roman"/>
          <w:b/>
          <w:color w:val="231F20"/>
          <w:sz w:val="20"/>
        </w:rPr>
        <w:t>Risks Related to Our Business, Financial Condition and Capital Requirements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are a clinical-stage biopharmaceutical company, have a limited operating history and had a single product approved for commercial sale that we have divested, which may make it difficult for you to evaluate our current business and likelihood of success and viability.</w:t>
      </w:r>
    </w:p>
    <w:p>
      <w:pPr>
        <w:pStyle w:val="TextBody"/>
        <w:bidi w:val="0"/>
        <w:spacing w:lineRule="auto" w:line="331" w:before="200" w:after="283"/>
        <w:jc w:val="both"/>
        <w:rPr>
          <w:rFonts w:ascii="Times New Roman" w:hAnsi="Times New Roman"/>
          <w:sz w:val="20"/>
        </w:rPr>
      </w:pPr>
      <w:r>
        <w:rPr>
          <w:rFonts w:ascii="Times New Roman" w:hAnsi="Times New Roman"/>
          <w:color w:val="000000"/>
          <w:sz w:val="20"/>
        </w:rPr>
        <w:t xml:space="preserve">We are a clinical-stage biopharmaceutical company with a limited operating history upon which you can evaluate our business and prospects. </w:t>
      </w:r>
      <w:r>
        <w:rPr>
          <w:rFonts w:ascii="Times New Roman" w:hAnsi="Times New Roman"/>
          <w:color w:val="231F20"/>
          <w:sz w:val="20"/>
        </w:rPr>
        <w:t xml:space="preserve">We had a single product, FYARRO, approved for commercial sale by the FDA in November 2021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sz w:val="20"/>
        </w:rPr>
      </w:pPr>
      <w:r>
        <w:rPr>
          <w:rFonts w:ascii="Times New Roman" w:hAnsi="Times New Roman"/>
          <w:color w:val="231F20"/>
          <w:sz w:val="20"/>
        </w:rPr>
        <w:t xml:space="preserve">and launched commercially in the United States </w:t>
      </w:r>
      <w:r>
        <w:rPr>
          <w:rFonts w:ascii="Times New Roman" w:hAnsi="Times New Roman"/>
          <w:color w:val="000000"/>
          <w:sz w:val="20"/>
        </w:rPr>
        <w:t xml:space="preserve">for treatment of </w:t>
      </w:r>
      <w:r>
        <w:rPr>
          <w:rFonts w:ascii="Times New Roman" w:hAnsi="Times New Roman"/>
          <w:color w:val="231F20"/>
          <w:sz w:val="20"/>
        </w:rPr>
        <w:t>advanced malignant PEComa</w:t>
      </w:r>
      <w:r>
        <w:rPr>
          <w:rFonts w:ascii="Times New Roman" w:hAnsi="Times New Roman"/>
          <w:color w:val="000000"/>
          <w:sz w:val="20"/>
        </w:rPr>
        <w:t xml:space="preserve"> </w:t>
      </w:r>
      <w:r>
        <w:rPr>
          <w:rFonts w:ascii="Times New Roman" w:hAnsi="Times New Roman"/>
          <w:color w:val="231F20"/>
          <w:sz w:val="20"/>
        </w:rPr>
        <w:t>in February 2022. In March 2025, we divested FYARRO pursuant to a</w:t>
      </w:r>
      <w:r>
        <w:rPr>
          <w:rFonts w:ascii="Times New Roman" w:hAnsi="Times New Roman"/>
          <w:color w:val="000000"/>
          <w:sz w:val="20"/>
        </w:rPr>
        <w:t xml:space="preserve"> Stock Purchase Agreement (the “Divestiture Agreement”), dated December 19, 2024, with KAKEN INVESTMENTS INC., a Delaware corporation (“KAKEN”), KAKEN PHARMACEUTICAL CO., LTD, and Aadi Subsidiary, Inc., a Delaware corporation and our former wholly owned subsidiary and the operating company for the FYARRO Business (“Aadi Subsidiary”). In December 2024, we entered into an intellectual property license agreement (the “License Agreement”) with WuXi Biologics (Shanghai FX) Co., Ltd. (“WuXi Biologics”) for the development and global commercialization of the ADC Therapies targeting clinically validated, broadly overexpressed tumor antigens in high potential cancer indications with significant unmet need. Accordingly, we continue to incur significant research and development and other expenses related to such ongoing operations.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r>
        <w:rPr>
          <w:rFonts w:ascii="Times New Roman" w:hAnsi="Times New Roman"/>
          <w:color w:val="231F20"/>
          <w:sz w:val="20"/>
        </w:rPr>
        <w:t xml:space="preserv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To date, we have devoted substantially all of our resources to research and development activities, business planning, establishing and maintaining our intellectual property portfolio, the commercialization of FYARRO, hiring personnel, raising capital and providing general and administrative support for these operations.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We just recently commenced clinical trials with two of our product candidates and one product candidate is in the preclinical stage. As a result, it may be more difficult for you to accurately predict our likelihood of success and viability than it could be if we had a longer operating history. In addition, we may encounter unforeseen expenses, difficulties, complications, delays and other known and unknown factors and risks frequently experienced by clinical-stage biopharmaceutical companies in rapidly evolving fields. </w:t>
      </w:r>
    </w:p>
    <w:p>
      <w:pPr>
        <w:pStyle w:val="TextBody"/>
        <w:bidi w:val="0"/>
        <w:spacing w:lineRule="auto" w:line="331" w:before="200" w:after="283"/>
        <w:jc w:val="both"/>
        <w:rPr>
          <w:rFonts w:ascii="Times New Roman" w:hAnsi="Times New Roman"/>
          <w:b/>
          <w:i/>
          <w:color w:val="231F20"/>
          <w:sz w:val="20"/>
        </w:rPr>
      </w:pPr>
      <w:r>
        <w:rPr>
          <w:rFonts w:ascii="Times New Roman" w:hAnsi="Times New Roman"/>
          <w:b/>
          <w:i/>
          <w:color w:val="231F20"/>
          <w:sz w:val="20"/>
        </w:rPr>
        <w:t>We have incurred significant net losses since our inception, and we expect to continue to incur significant net losses for the foreseeable future.</w:t>
      </w:r>
    </w:p>
    <w:p>
      <w:pPr>
        <w:pStyle w:val="TextBody"/>
        <w:bidi w:val="0"/>
        <w:spacing w:lineRule="auto" w:line="331" w:before="200" w:after="283"/>
        <w:jc w:val="both"/>
        <w:rPr>
          <w:rFonts w:ascii="Times New Roman" w:hAnsi="Times New Roman"/>
          <w:color w:val="231F20"/>
          <w:sz w:val="20"/>
        </w:rPr>
      </w:pPr>
      <w:r>
        <w:rPr>
          <w:rFonts w:ascii="Times New Roman" w:hAnsi="Times New Roman"/>
          <w:color w:val="231F20"/>
          <w:sz w:val="20"/>
        </w:rPr>
        <w:t>We have incurred significant net losses since our inception, have only generated revenue from product sales for a portion of our operating history (February 2022 through March 2025), and have financed our operations principally through private placements and public offerings of our securities, federal grants and proceeds from licenses. Our net loss was $16.6 million and $52.6 million for the three months ended June 30, 2026 and 2025, respectively. We had an accumulated deficit of $392.1 million as of June 30, 2026, and $353.3 million as of December 31, 2025. These losses have resulted primarily from costs incurred in connection with research and development activities, costs incurred in connection with developing and commercializing FYARRO and general and administrative costs associated with our operations. As a result of our acquisition of the ADC Therapies, we expect to continue to incur significant selling, general and administrative expenses as well as research and development expenses related to our ongoing operations, including, identifying and designing additional product candidates, conducting preclinical studies and clinical trials for our product candidates, and navigating the regulatory approval process for the ADC Therapies and any future product candidates. Although our expenses decreased overall given the divestiture of FYARRO, including related commercial and clinical expenses, and headcount reductions, the amount of our future expenses and potential losses is uncertain.</w:t>
      </w:r>
    </w:p>
    <w:p>
      <w:pPr>
        <w:pStyle w:val="TextBody"/>
        <w:bidi w:val="0"/>
        <w:spacing w:lineRule="auto" w:line="331" w:before="200" w:after="283"/>
        <w:jc w:val="both"/>
        <w:rPr>
          <w:rFonts w:ascii="Times New Roman" w:hAnsi="Times New Roman"/>
          <w:color w:val="231F20"/>
          <w:sz w:val="20"/>
        </w:rPr>
      </w:pPr>
      <w:r>
        <w:rPr>
          <w:rFonts w:ascii="Times New Roman" w:hAnsi="Times New Roman"/>
          <w:color w:val="231F20"/>
          <w:sz w:val="20"/>
        </w:rPr>
        <w:t>Even if we succeed in receiving regulatory approval for and commercializing one or more of our current and future product candidates, we expect to continue to incur significant expenses and increase our operating losses over the next several years and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our ability to achieve and maintain profitability and the performance of our stock.</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Our ability to generate revenue and achieve profitability depends significantly on our ability to achieve several objectives relating to the discovery, development and commercialization of the ADC Therapies and other product candidates that we may develop.</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ability to generate product sales depends on our ability, alone or with strategic collaboration partners, to obtain the regulatory and marketing approvals necessary to successfully complete discovery, development and eventual commercialization of one or more of the ADC Therapies or any future product candidates, and commercialize any such product candidates, if approved, in foreign jurisdictions. We do not anticipate generating revenue from product sales for the foreseeable future. Our ability to generate future revenue and achieve profitability depends significantly on our ability, or any current or future collaborator’s ability, to achieve several objectives, including, but not limited to:</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demonstrating the safety and efficacy of the ADC Therapies to the satisfaction of the FDA and obtaining regulatory approval for ADC Therapies and for any other product candidates that we may develop, if any, for which there is a commercial market;</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launching and successfully commercializing the ADC Therapies or any other product candidates that we may develop following any regulatory approval, including the development of a commercial infrastructure, whether in-house or with one or more collaborators;</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maintaining a commercially viable supply of, and manufacturing relationships with third parties that can provide adequate, in both amount and quality, products and services to support clinical development and meet the market demand for the ADC Therapies or any other product candidates that we may develop, if approved;</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completing development activities successfully and on a timely basis;</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our ability to complete IND application enabling studies and successfully submit INDs or IND supplements or comparable applications, which become effective without any objections by the FDA or comparable regulatory authorities before commencing a clinical trial for the ADC Therapies and any future product candidates;</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establishing and maintaining relationships with contract research organizations (“CROs”) and clinical sites for the future clinical development of the ADC Therapies and any other future product candidates that we may develop;</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timely receipt of regulatory approvals from applicable regulatory authorities for any product candidates for which we successfully complete clinical development;</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developing or contracting for an efficient and scalable manufacturing process for the ADC Therapies and any future product candidates, including obtaining finished products that are appropriately packaged for sale;</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following regulatory approval, negotiating and maintaining an adequate price for the ADC Therapies or any future product candidates, both in the United States and in foreign countries where our products are commercialized;</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a continued acceptable safety profile following any regulatory approval of product candidates;</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commercial acceptance of product candidates by patients, the medical community and third-party payors;</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obtaining coverage and adequate reimbursement by third-party payors for any product candidates;</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satisfying any required post-regulatory approval commitments to applicable regulatory authorities; identifying, assessing and developing new product candidates;</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obtaining, maintaining and expanding patent protection, trade secret protection and regulatory exclusivity, both in the United States and internationally;</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protecting our rights in our intellectual property portfolio;</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defending against third-party interference or infringement claims, if any;</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entering into and maintaining, on favorable terms, any collaboration, licensing or other arrangements that may be necessary or desirable to develop, manufacture or commercialize the ADC Therapies and any future product candidates; and</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addressing any competing therapies and technological and market developments and attracting, hiring and retaining qualified personnel.</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or continue our operations and could cause a decline in the value of our common stock.</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this will continue as a result of our ongoing and planned activities, particularly the clinical development of the ADC Therapies. Our expenses could increase beyond our current expectations if we are required by the FDA, the European Medicines Agency (the “EMA”) or other regulatory agencies to perform clinical trials or preclinical studies in addition to those that we currently anticipate, or if there are any delays in any of our clinical trials or the development of any future product candidates. Other unanticipated costs may also arise. In addition, even if we obtain regulatory approval for the ADC Therapies or any other product candidates that we may develop, we expect to incur significant commercialization expenses related to sales, marketing, manufacturing and distribution activities and ongoing compliance activities. We cannot reasonably estimate the actual amount of resources and funding that will be necessary to successfully complete the development and, if approved, commercialize the ADC Therapies or any other product candidates we may develop. In addition, we have incurred, and will continue to incur, additional costs associated with operating as a public company. Accordingly, we will need to obtain substantial additional funding in order to continue our operations.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Changing circumstances, some of which may be beyond our control, could cause us to consume capital significantly faster than we currently anticipate, and we may need to seek additional funds sooner than planned.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plan to use our cash, cash equivalents and short-term investments to fund the clinical development of the ADC Therapies, for manufacturing operations and to fund our other research for other product candidates and development activities, as well as for working capital and other general corporate purposes. Advancing the development of the ADC Therapies and any future product candidate will require a significant amount of capital. Our existing cash, cash equivalents and short-term investments will not be sufficient to fund all of the activities that are necessary to complete the development of the ADC Therapies and any future product candidates.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We will be required to obtain further funding to support our continuing operations through public or private equity offerings, debt financings, third-party funding, marketing and distribution arrangements, collaborations with third parties and licensing arrangements or other sources or a combination of these approaches, which may dilute our stockholders or restrict our operating activities. Any additional fundraising efforts may divert our management from their day-to-day activities, which may adversely affect our ability to develop the ADC Therapies or any other product candidates we may develop, if approved. Adequate additional financing may not be available to us in sufficient amounts or on acceptable terms, or at all. To the extent that we raise additional capital through the sale of equity or convertible debt securities, our stockholders’ ownership interest will be diluted, and the terms may include liquidation or other preferences that adversely affect stockholder rights and the possibility of such issuance may cause the market price of our shares to decline. Debt financing may result in imposition of debt covenants, increased fixed payment obligations or other restrictions that may affect the conduct of our business. If we raise additional funds through up-front payments or milestone payments pursuant to strategic collaborations with third parties, we may have to relinquish valuable rights to certain of our technologies or our product candidates, or grant licenses on terms that are not favorable to us, which may have a material adverse effect on our business, operating results and prospects. Our ability to raise additional funds may be adversely impacted by potential worsening global economic conditions and the recent disruptions to, and volatility in, the credit and financial markets in the United States and worldwide resulting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from rising inflation and interest rates, monetary policy changes, the implementation of tariffs, the conflicts in Ukraine and the Middle East, and otherwise. In addition, we may seek additional capital due to favorable market conditions or strategic considerations even if we believe we have sufficient funds for our current or future operating plans.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failure to raise capital as and when needed or on acceptable terms would have a negative impact on our financial condition and our ability to pursue our business strategy, and we may have to significantly delay, reduce the scope of, suspend or eliminate one or more of our research or development programs, clinical trials or future commercialization efforts.</w:t>
      </w:r>
    </w:p>
    <w:p>
      <w:pPr>
        <w:pStyle w:val="TextBody"/>
        <w:bidi w:val="0"/>
        <w:spacing w:lineRule="auto" w:line="331" w:before="200" w:after="283"/>
        <w:jc w:val="both"/>
        <w:rPr>
          <w:rFonts w:ascii="Times New Roman" w:hAnsi="Times New Roman"/>
          <w:b/>
          <w:color w:val="000000"/>
          <w:sz w:val="20"/>
        </w:rPr>
      </w:pPr>
      <w:r>
        <w:rPr>
          <w:rFonts w:ascii="Times New Roman" w:hAnsi="Times New Roman"/>
          <w:b/>
          <w:color w:val="000000"/>
          <w:sz w:val="20"/>
        </w:rPr>
        <w:t>Risks Related to the Discovery, Development and Commercialization of Our Product Candidates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Following the FYARRO Divestiture, we do not have any approved products and our pipeline is comprised solely of preclinical and clinical assets. The ADC Therapies are early in development. Going forward, our business will depend on our ability to advance our current and future product candidates through preclinical studies and clinical trials and obtain regulatory approval of our product candidates, which may fail in development or suffer delays that adversely affect their commercial viability.</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Following the FYARRO Divestiture, we do not have any approved products and our pipeline is comprised solely of preclinical and clinical assets. Going forward, our business and future operating results will be dependent on our ability to successfully advance, develop and obtain regulatory approval for and/or commercialize our current and future product candidates and discover or in-license additional preclinical or clinical assets. Our ability to generate product or other revenue, which we do not expect will occur for many years, if ever, will depend heavily on the successful development and eventual commercialization of our product candidates, which may never occur.</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Prior to initiating clinical trials of our product candidates, we need to complete IND-enabling studies and file an IND or similar application to the FDA or regulatory authorities in other jurisdictions. The FDA cleared our IND applications for HWK-007 and HWK-016 in the fourth quarter of 2025 and the first quarter of 2026, respectively, and we anticipate FDA clearance of our IND for HWK-206 in mid-2026 but we may not be able to receive such clearance on the timeline we expect. Moreover, we cannot be sure that submission of an IND will result in the FDA allowing further clinical trials to begin, or that, once begun, issues will not arise that result in the suspension or termination of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clearance for our trials may prevent us from developing product candidates on a timely basis, if at all.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 If we experience failures, setbacks or delays in our preclinical studies, clinical trials, manufacturing or regulatory efforts, our business may be materially harmed.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success of other product candidates we may develop will depend on many factors, including the following:</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generating sufficient preclinical data to support the initiation of clinical trials;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obtaining regulatory permission to initiate clinical trials;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contracting with the necessary parties to conduct preclinical studies and clinical trials;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successful enrollment of patients in, and the completion of, clinical trials on a timely basis;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timely manufacture of sufficient quantities of a product candidate for use in clinical trials; and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generating sufficient safety and efficacy data to warrant continued development and which are satisfactory to the FDA or any other regulatory authority for marketing approval.</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Even if we successfully advance any of the ADC Therapies or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product candidates.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Through the License Agreement, we have transitioned to a new pipeline and are pursuing different targets and indications from those we have historically pursued, which has risks.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in-licensed the ADC Therapies, which are focused on new targets and indications that are different from the targets and indications for FYARRO. Transitioning to a new product candidate pipeline has many risks, including the ability to obtain sufficient capital to cover expenses to fund operations. These risks may be further exacerbated by the FYARRO Divestiture, as FYARRO has historically been our only source of revenue. The ADC Therapies represent a new pipeline with new targets and indications from historical current clinical pipeline and FYARRO. As a result, we have competitors that are better established in the market, have greater experience with such line of business or have greater resources than we do. Furthermore, certain of our current employees may have limited experience with discovery, research and development, preclinical studies and clinical trials relating to ADC Therapies and may have limited experience with respect to other programs we may explore as we seek to expand our pipeline. We may also be required to incur additional costs, including hiring additional personnel or equipment or engaging with new service providers. We may also have issues with the transfer of materials or learnings.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The ADC Therapies have just recently commenced testing in humans. They are comprised of antibodies that had never previously been tested in humans and linker-payloads that are currently in clinical trials run by independent third parties for other indications.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product candidates are next-generation ADCs using the same linker-payload designed by Hangzhou DAC and new antibodies designed by WuXi Biologics. Though ADC-based product candidates have been or are currently being evaluated by others in clinical trials using similar targets or the same linker-payload architectures, our product candidates and their antibody components have never been evaluated in human clinical trials prior to our Phase 1 studies of HWK-007 and HWK-016 that commenced in the first quarter of 2026. If our product candidates encounter safety or efficacy problems, developmental delays or regulatory issues or other problems, such problems could impact the development plans for our other product candidates because all of our product candidates currently use the same linker-payload architecture.</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Additionally, if ADCs being developed by other third parties that use the same linker-payload as our product candidates encounter safety or efficacy problems, our product candidates may face challenges from a development, regulatory or commercialization perspective. Lack of efficacy, adverse events, undesirable side effects or other adverse results may emerge in clinical trials conducted by third parties investigating a similar product candidate or product candidates using the same or similar linkers, payloads or antibodies. Those adverse results can adversely affect the development, approval and commercialization of our product candidates.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Additionally, WuXi Biologics and Hangzhou DAC may enter into other licenses or collaboration partners that allow more third parties to develop and commercialize product candidates with the same or similar components, thereby increasing these risks. Lastly, the linker payloads may use highly potent cytotoxins and payloads that require special manufacturing and handling, which can pose additional risks.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Our product candidates may not achieve adequate market acceptance among physicians, patients, healthcare payors and others in the medical community necessary for commercial success, which would limit the revenue that we generate from our sales.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Even if our product candidates receive regulatory approval, such approved product candidates may not gain adequate market acceptance among physicians, patients, third-party payors and others in the medical community. The degree of market acceptance of any of our approved product candidates will depend on a number of factors, including, among others: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efficacy and safety profile as demonstrated in clinical trials compared to alternative treatments;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timing of market introduction of the product candidate as well as competitive products;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clinical indications for which a product candidate is approved;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potential and perceived advantages of our product candidates over alternative treatments;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availability of coverage and adequate reimbursement by third-party payors, including government authorities or the willingness of patients to pay out-of-pocket in the absence of third-party payor coverage;</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availability of an approved product candidate for use as a combination therapy;</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prevalence and severity of any adverse effects associated with any approved product candidate;</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any restrictions on the use of our product candidates together with other medications;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relative convenience and ease of administration;</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willingness of the target patient population to try new therapies and undergo required diagnostic screening to determine treatment eligibility and of physicians to prescribe these therapies and diagnostic tests;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effectiveness of sales and marketing efforts;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unfavorable publicity relating to our product candidates; and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approval of other new therapies for the same indications.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Even if a product candidate is approved, it may never achieve an adequate level of acceptance by physicians, hospitals, healthcare payors and patients, and we may not generate or derive sufficient revenue from that product and our financial results could be negatively impacted. Before granting reimbursement approval, healthcare payors may require us to demonstrate that any product candidates, in addition to treating target indications, also provide incremental health benefits to patients. Our efforts to educate the medical community and third-party payors about the benefits of any product candidates may require significant resources and may never be successful.</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The market opportunities for the ADC Therapies and any other product candidates we may develop, if approved, may be limited to certain smaller patient subsets.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Cancer therapies are sometimes characterized by line of therapy (first-line, second-line, third-line, etc.) and the FDA often approves new therapies initially only for a particular line or lines of use. When cancer is detected early enough, first-line therapy, such as chemotherapy, hormone therapy, surgery, radiation therapy or a combination of these, is sometimes adequate to cure the cancer or prolong life without a cure. Second line therapies often consist of more chemotherapy, radiation,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antibody drugs, tumor-targeted small molecules, or a combination of these. Third line therapies can include chemotherapy, antibody drugs and small molecule tumor-targeted therapies, more invasive forms of surgery and new technologies. There is no guarantee that product candidates that we develop, even if approved, would be approved for first-line or second-line therapy and, prior to any such approvals, we may have to conduct additional clinical trials that may be costly, time-consuming and subject to risk.</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number of patients who have the cancers we are targeting may turn out to be lower than expected. Our projections of addressable patient populations that may benefit from treatment with our product or any future product candidates are based on our estimates, which may prove to be incorrect. Additionally, the potentially addressable patient population for any product candidates may be limited or may not be amenable to treatment with such product. Regulatory approval may limit the market of a product candidate to target patient populations when such biomarker-driven identification and/or highly specific criteria related to the stage of disease progression are utilized. If any of our estimates prove to be inaccurate, the market opportunity for any product candidate that we develop could be significantly diminished and have an adverse material impact on our business.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Even if we obtain significant market share for any future approved product, if the potential target populations are small, we may never achieve profitability without obtaining regulatory approval for additional indications.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Any product candidates for which we may obtain regulatory approval, may become subject to unfavorable third-party coverage and reimbursement practices, as well as pricing regulations.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product candidate that receives regulatory approval will depend substantially, both in the United States and internationally, on the extent to which the costs of such product candidate will be covered and reimbursed by third-party payors. If reimbursement is not available, or is available only to limited levels, we may not be able to successfully commercialize any product candidates that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regulatory approval. If coverage and reimbursement are not available or reimbursement is available only to limited levels, we may not successfully commercialize any product candidate for which we obtain regulatory approval.</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There is significant uncertainty related to third-party payor coverage and reimbursement of newly approved products, which would include any product candidate for which we may obtain regulatory approval. Market acceptance and sales of any product candidates for which we obtain regulatory approval will depend on reimbursement policies and may be affected by healthcare reform measures. Coverage and adequate reimbursement from governmental healthcare programs, such as Medicare and Medicaid in the United States, and commercial payors are critical to new product acceptance. Third-party payors decide which drugs they will pay for and establish reimbursement levels.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Factors that payors consider in determining reimbursement are based on whether the product is: (i) a covered benefit under the health plan; (ii) safe, effective and medically necessary; (iii) appropriate for the specific patient; (iv) cost-effective; and (v) neither experimental nor investigational.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We may need to conduct expensive pharmaco-economic studies to demonstrate the medical necessity and cost effectiveness of our products. As a result, any product candidate we may develop may not be considered medically necessary or cost effective. We cannot be sure that coverage and reimbursement will be available for any product that we may commercialize and, if reimbursement is available, what the level of reimbursement will be.</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prescription drug pricing, review the relationship between pricing and manufacturer patient programs, and reform government program reimbursement methodologies for drug products. For example, under the American Rescue Plan Act of 2021 (the “American Rescue Plan”), the statutory cap on Medicaid Drug Rebate Program rebates that manufacturers pay to state Medicaid programs was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August 2022, Congress passed the Inflation Reduction Act of 2022 (the “Inflation Reduction Act”),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Government agreements with pharmaceutical companies and other measures that use international pricing reference to set drug prices in the United States or increase generic and biosimilar drug entry sooner than expected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future legislative, executive, and administrative actions and agency rules implemented by the current administration on us and the pharmaceutical industry as a whole is unclear. A number of states are considering or have recently enacted state drug price transparency and reporting laws that could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substantially increase our compliance burdens and expose us to greater liability under such laws after obtaining regulatory approval for any of the product candidates that we may develop. The implementation of cost containment measures or other healthcare reforms may prevent us from being able to generate revenue, attain profitability, or commercialize any product candidates that we may develop, if approved. Complying with any new legislation and regulatory changes could be time-intensive and expensive, resulting in a material adverse effect on our business.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any product candidates that we may develop, if approved.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regulatory approval. To obtain favorable reimbursement or pricing approval in some countries, we may be required to conduct a clinical trial that compares the cost-effectiveness of any product candidate that we may develop, if approved,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any product candidates that we may develop, if approved. Accordingly, in markets outside the United States, the reimbursement for any other products that we may develop and receive regulatory approval for may be unavailable or reduced compared with the United States and may be insufficient to generate commercially reasonable revenue and profits. If reimbursement is conditioned upon our completion of additional clinical trials, or if pricing is set at unsatisfactory levels, our operating results could be materially adversely affected.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If we are unable to establish or sustain coverage and adequate reimbursement for any product candidates that we may develop, if approved, from third-party payors, the adoption of those other products if approved, the prices of those other products, if approved, and sales revenue from those products if approved will be adversely affected, which, in turn, could adversely affect the ability to market or sell any product candidates that we may develop, if approved. Moreover, coverage policies and third-party payor reimbursement rates, including those of government payors, may change at any time and it is unclear what effect legislative, executive, and administrative actions and any future healthcare measures and agency rules will have on the number of covered individuals. Even if favorable coverage and reimbursement status is attained for one or more product candidates that we may develop for which we receive regulatory approval, it is possible that less favorable coverage policies and reimbursement rates may be implemented in the future.</w:t>
      </w:r>
    </w:p>
    <w:p>
      <w:pPr>
        <w:pStyle w:val="TextBody"/>
        <w:bidi w:val="0"/>
        <w:spacing w:lineRule="auto" w:line="297" w:before="200" w:after="283"/>
        <w:jc w:val="both"/>
        <w:rPr>
          <w:rFonts w:ascii="Times New Roman" w:hAnsi="Times New Roman"/>
          <w:b/>
          <w:i/>
          <w:color w:val="000000"/>
          <w:sz w:val="20"/>
        </w:rPr>
      </w:pPr>
      <w:r>
        <w:rPr>
          <w:rFonts w:ascii="Times New Roman" w:hAnsi="Times New Roman"/>
          <w:b/>
          <w:i/>
          <w:color w:val="000000"/>
          <w:sz w:val="20"/>
        </w:rPr>
        <w:t>We may not be able to obtain FDA approval of any future NDA for any other product candidates we may develop.</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clinical development, manufacturing, labeling, packaging, storage, recordkeeping, advertising, promotion, export, import, marketing and distribution and other possible activities relating to any product candidate that we may develop are subject to extensive regulation in the United States. Prior to the approval of our NDA for FYARRO for advanced malignant PEComa, we had not submitted an application for approval or obtained FDA approval for any product.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Approval of an NDA is not guaranteed. The approval process is expensive and uncertain and may take several years. The FDA and foreign regulatory entities also have substantial discretion in the approval process. The number and types of preclinical studies and clinical trials that will be required for approval varies depending on the product candidate, the disease or the condition that the product candidate is designed to target and the regulations applicable to any particular product candidate. Data are subject to varying interpretation and the FDA may not agree that our clinical data support that any of our product candidates are safe and effective for the proposed therapeutic use.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those goals and their impact on specific clinical programs and the industry are unclear. The FDA’s “real-time” release of newly issued Complete Response Letters associated with withdrawn or abandoned applications, if applicable to our product candidates, can materially impact our competitive advantage and intellectual property. Despite the time and expense associated with preclinical studies and clinical trials, failure can occur at any stage, and we could encounter problems that require us to repeat or perform additional preclinical studies or clinical trials or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generate additional chemistry, manufacturing and controls data, including drug product stability data. The FDA and similar foreign authorities could delay, limit or deny approval of a product candidate, and may ultimately approve the product for narrower indications or with unfavorable labeling that would impede our commercialization of the drug.</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Approval procedures vary among countries and can involve additional product testing and additional administrative review periods, including obtaining reimbursement and pricing approval in select markets. The time required to obtain approval in other countries might differ from that required to obtain FDA approval. The regulatory approval process in other countries may include all of the risks associated with FDA approval as well as additional, presently unanticipated, risks. Regulatory approval in one country does not ensure regulatory approval in another, but a failure or delay in obtaining regulatory approval in one country may negatively impact the regulatory process in others, including the risk that our product candidates may not be approved for all indications requested and that such approval may be subject to limitations on the indicated uses for which the product may be marketed.</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Failure to obtain marketing approval in international jurisdictions would prevent any product candidates that we may develop, if approved, from being marketed abroad.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order to market and sell our products in the European Union and in any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any product candidates that we may develop, if approved, in any market.</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A variety of risks associated with marketing any product candidates we may develop, if approved, internationally could affect our business.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may seek regulatory approval for product candidates outside of the United States and, accordingly, we expect that we will be subject to additional risks related to operating in foreign countries if we obtain the necessary approvals, including:</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differing regulatory requirements in foreign countries;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potential for so-called parallel importing, which is what happens when a local seller, faced with high or higher local prices, opts to import goods from a foreign market with low or lower prices rather than buying them locally;</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potential liability under the United States Foreign Corrupt Practices Act (“FCPA”) or comparable foreign regulations;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business interruptions resulting from geo-political actions, including war and terrorism.</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addition, recent conflicts in Ukraine and the Middle East have led to, and could continue to lead to, disruption, instability and volatility in global markets and industries that could negatively impact our operations. For example, the U.S. government and other governments in jurisdictions in which we may operate in the future have imposed severe sanctions and export controls against Russia and Russian interests and threatened additional sanctions and controls. The impact of these measures, as well as potential responses to them by Russia, is currently unknown and they could adversely affect our business, supply chain, business partners or customers.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These and other risks associated with our international operations may compromise our ability to achieve or maintain profitability.</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The preclinical studies and clinical trials for the ADC Therapies or any other product candidates that we may develop may not demonstrate safety and efficacy to the satisfaction of the FDA, EMA or other comparable foreign regulatory authorities or otherwise produce positive results, which would prevent, delay, or limit the scope of development, regulatory approval and commercialization.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Before obtaining regulatory approval from the FDA, EMA or other foreign regulatory authorities for the sale of product candidates that we may develop, we, among other requirements, may need to complete preclinical development and extensive clinical trials to demonstrate with substantial evidence the safety and efficacy of such product candidates. Each product candidate must demonstrate an adequate risk versus benefit profile in our intended patient population and for our intended use. Drug product must also be manufactured and tested in accordance with regional regulatory requirements which may differ from region to region. Clinical testing is expensive, difficult to design and implement, can take many years to complete and its ultimate outcome is inherently uncertain. A failure of one or more preclinical studies or clinical trials can occur at any stage of the process. The outcome of preclinical studies and early-stage clinical trials may not be predictive of the success of later clinical trials. In addition, initial success in clinical trials may not be indicative of results obtained when such trials are completed. Moreover, preclinical and clinical data are often susceptible to varying interpretations and analyses, and many companies in the biopharmaceutical industry that have believed their product candidates performed satisfactorily in preclinical studies and clinical trials have nonetheless failed to obtain regulatory approval of their products. Our current or future clinical trials may not ultimately be successful or support further clinical development of the ADC Therapies or any other product candidates we may develop.</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may experience numerous unforeseen events during, or as a result of, clinical trials that could delay or prevent our ability to receive regulatory approval or our ability to commercialize any product candidates we may develop, including:</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receipt of feedback from regulatory authorities that require us to modify the design of our clinical trials;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negative or inconclusive clinical trial results that may require us to conduct additional clinical trials or abandon certain drug development programs;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the number of patients required for clinical trials being larger than anticipated, enrollment in these clinical trials being slower than anticipated or participants dropping out of these clinical trials at a higher rate than anticipated;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clinical trial sites or our CRO failing to comply with regulatory requirements or meet their contractual obligations to us in a timely manner, or at all;</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suspension or termination of our clinical trials for various reasons, including non-compliance with regulatory requirements or a finding that our product candidates have undesirable side effects or other unexpected characteristics;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cost of clinical trials of our product candidates being greater than anticipated;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supply or quality of our product candidates or other materials necessary to conduct clinical trials of our product candidates being insufficient or inadequate; and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delays due to health epidemics, such as the COVID-19 pandemic, including starting any clinical trials for other indications or programs.</w:t>
      </w:r>
    </w:p>
    <w:p>
      <w:pPr>
        <w:pStyle w:val="TextBody"/>
        <w:bidi w:val="0"/>
        <w:spacing w:lineRule="auto" w:line="331" w:before="200" w:after="283"/>
        <w:jc w:val="both"/>
        <w:rPr>
          <w:rFonts w:ascii="Times New Roman" w:hAnsi="Times New Roman"/>
          <w:sz w:val="20"/>
        </w:rPr>
      </w:pPr>
      <w:r>
        <w:rPr>
          <w:rFonts w:ascii="Times New Roman" w:hAnsi="Times New Roman"/>
          <w:color w:val="000000"/>
          <w:sz w:val="20"/>
        </w:rPr>
        <w:t xml:space="preserve">For example, we initiated our PRECISION1 Phase 2 study of FYARRO in malignant solid tumors harboring </w:t>
      </w:r>
      <w:r>
        <w:rPr>
          <w:rFonts w:ascii="Times New Roman" w:hAnsi="Times New Roman"/>
          <w:i/>
          <w:color w:val="000000"/>
          <w:sz w:val="20"/>
        </w:rPr>
        <w:t>TSC1</w:t>
      </w:r>
      <w:r>
        <w:rPr>
          <w:rFonts w:ascii="Times New Roman" w:hAnsi="Times New Roman"/>
          <w:color w:val="000000"/>
          <w:sz w:val="20"/>
        </w:rPr>
        <w:t xml:space="preserve"> and </w:t>
      </w:r>
      <w:r>
        <w:rPr>
          <w:rFonts w:ascii="Times New Roman" w:hAnsi="Times New Roman"/>
          <w:i/>
          <w:color w:val="000000"/>
          <w:sz w:val="20"/>
        </w:rPr>
        <w:t>TSC2</w:t>
      </w:r>
      <w:r>
        <w:rPr>
          <w:rFonts w:ascii="Times New Roman" w:hAnsi="Times New Roman"/>
          <w:color w:val="000000"/>
          <w:sz w:val="20"/>
        </w:rPr>
        <w:t xml:space="preserve"> inactivating alterations based on exploratory data from our completed Phase 2 registrational study, Advanced Malignant PEComa Trial (“AMPECT trial”), and data for FYARRO in other solid tumors with </w:t>
      </w:r>
      <w:r>
        <w:rPr>
          <w:rFonts w:ascii="Times New Roman" w:hAnsi="Times New Roman"/>
          <w:i/>
          <w:color w:val="000000"/>
          <w:sz w:val="20"/>
        </w:rPr>
        <w:t>TSC1</w:t>
      </w:r>
      <w:r>
        <w:rPr>
          <w:rFonts w:ascii="Times New Roman" w:hAnsi="Times New Roman"/>
          <w:color w:val="000000"/>
          <w:sz w:val="20"/>
        </w:rPr>
        <w:t xml:space="preserve"> and </w:t>
      </w:r>
      <w:r>
        <w:rPr>
          <w:rFonts w:ascii="Times New Roman" w:hAnsi="Times New Roman"/>
          <w:i/>
          <w:color w:val="000000"/>
          <w:sz w:val="20"/>
        </w:rPr>
        <w:t>TSC2</w:t>
      </w:r>
      <w:r>
        <w:rPr>
          <w:rFonts w:ascii="Times New Roman" w:hAnsi="Times New Roman"/>
          <w:color w:val="000000"/>
          <w:sz w:val="20"/>
        </w:rPr>
        <w:t xml:space="preserve"> inactivating alterations. In August 2024, we had to halt, and subsequently wind-down, the PRECISION1 trial based on interim data and the related analysis by the Independent Data Monitoring Committee, which determined that the study was unlikely to exceed an efficacy threshold necessary to support an accelerated approval, the key goal of the study. Product candidates in later-stage clinical trials may fail to demonstrate sufficient safety and efficacy to the satisfaction of the FDA, EMA, and other comparable foreign regulatory authorities despite having progressed through preclinical studies and early-stage clinical trials. Additionally, we are aware of several other approved and clinical-stage antibody drug conjugates products being developed by multiple other companies, and, as such, the development of the ADC Therapies and our stock price may be impacted by inferences, whether correct or not, that are drawn between the success of our product candidates and those of other companies’ antibody drug conjugates products. Regulatory authorities may also limit the scope of later-stage trials until we have demonstrated satisfactory safety and efficacy results, which could delay regulatory approval, limit the size of the patient population to which we may market our product candidates, or prevent regulatory approval.</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products in clinical trials may have received surgical, radiation and chemotherapy treatments and/or may be using other approved products or investigational new drugs, which can cause side effects or adverse events that are unrelated to our products. As a result, assessments of efficacy can vary widely for a particular patient, and from patient to patient and site to site within a clinical trial. This subjectivity can increase the uncertainty of, and adversely impact, our clinical trial outcomes.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do not know whether any clinical trials we may conduct will demonstrate consistent or adequate efficacy and safety sufficient to obtain approval to market any product candidates we may develop. If we are required to conduct additional clinical trials or other testing of any future product candidates beyond those that we currently contemplate, if we are unable to successfully complete clinical trials of any product candidates or other testing in a timely manner, if the results of these trials or tests are not positive or are only modestly positive or if there are safety concerns, we may (i) incur unplanned costs, (ii) be delayed in seeking and obtaining regulatory approval for respective indications, if we receive such approval at all, (iii) receive more limited or restrictive regulatory approval for respective indications, (iv) be subject to additional post-marketing testing requirements or (v) have the drug removed from the market after obtaining regulatory approval. Even if regulatory approval is secured for any of our product candidates, the terms of such approval may limit the scope and use any product candidates, which may also limit their commercial potential.</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Any product candidates that we may develop may cause significant adverse events, toxicities or other undesirable side effects when used alone or in combination with other approved products or investigational new drugs that could delay or prevent regulatory approval, prevent market acceptance, limit their commercial potential or result in significant negative consequences.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If any product candidates that we may develop is associated with serious adverse events or other undesirable side effects or have unexpected characteristics in preclinical studies or clinical trials when used alone or in combination with other approved products or investigational new drugs, we may need to conduct additional studies to further evaluate their safety, interrupt, delay or abandon their development or halt clinical trials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a more restrictive label, delay or denial of regulatory approval or potential product liability claims. Any of these occurrences may prevent us from achieving or maintaining market acceptance of any affected product candidate, could substantially increase the costs of commercializing our product(s), and significantly impact our ability to successfully commercialize any product candidates that we may develop, if approved, and generate revenues, and may harm our business, financial condition and prospects significantly.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Any product candidates may be used in populations for which safety concerns may be particularly scrutinized by regulatory agencies. Patients treated with product candidates that we may develop may also be undergoing surgical, radiation and/or chemotherapy treatments, which can cause side effects or adverse events that are unrelated to the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If further significant adverse events or other side effects are observed in any of our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institutional review board may suspend or terminate clinical research at any time for various reasons, including noncompliance with regulatory requirements or a finding that the participants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Even if the side effects do not preclude the product candidate from obtaining or maintaining regulatory approval, undesirable side effects may inhibit market acceptance due to its tolerability versus other therapies. Any of these developments could materially harm our business, financial condition and prospects.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Further, if any product candidate that we may develop obtains regulatory approval, toxicities associated with such product candidates and not seen during clinical testing may also develop after such approval and lead to a requirement to (i) conduct additional clinical safety trials, (ii) add additional contraindications, warnings and precautions to the drug label, (iii) significantly restrict the use of the product, (iv) change the way the product is distributed or administered, (v) implement a risk evaluation and mitigation strategy, or create a medication guide outlining the risks of such side effects for distribution to patients, or (vi) suspend or withdraw the product from the market. We cannot predict whether any product candidates that we may develop will cause toxicities in humans that would preclude or lead to the revocation of regulatory approval based on preclinical studies or early-stage clinical trials.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Results from early preclinical studies and clinical trials of the ADC Therapies or any other product candidates that we may develop are not necessarily predictive of the results of later preclinical studies and clinical trials of such product candidates. If we cannot replicate the results from our earlier preclinical studies and clinical trials in our later preclinical studies and clinical trials, we may be unable to successfully develop, obtain regulatory approval for and commercialize any product candidates.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Any results from early preclinical studies and clinical trials of product candidates that we may develop may not necessarily be predictive of the results from later preclinical studies and clinical trials. Similarly, even if we are able to complete preclinical studies and clinical trials according to our current development timeline, the results from such preclinical studies and clinical trials may not be replicated in subsequent preclinical studies or clinical trial results.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EMA approval.</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are subject to risks relating to open-label clinical trials.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Some of our future clinical trials may utilize an open-label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biases, including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 label trial may not be predictive of future clinical trial results with any product candidates when studied in a controlled environment with a placebo or active control. </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or as additional analyses are conducted and are subject to audit, independent radiographic or clinical review, and verification procedures that could result in material changes in the final data.</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From time to time, we may publicly disclose preliminary, interim or topline data from our clinical trials. Preliminary data is based on a preliminary analysis of then 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independent radiographic or clinical review,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between interim data and final data could significantly harm our business and prospects. Further, additional disclosure of interim data by us or by our competitors in the future could result in volatility in the price of our common stock.</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addition, the information we choose to publicly disclose regarding a particular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any product candidates that we may develop may be harmed, which could harm our business, financial condition, results of operations and prospects.</w:t>
      </w:r>
    </w:p>
    <w:p>
      <w:pPr>
        <w:pStyle w:val="TextBody"/>
        <w:bidi w:val="0"/>
        <w:spacing w:lineRule="auto" w:line="297" w:before="200" w:after="283"/>
        <w:jc w:val="both"/>
        <w:rPr>
          <w:rFonts w:ascii="Times New Roman" w:hAnsi="Times New Roman"/>
          <w:b/>
          <w:i/>
          <w:color w:val="000000"/>
          <w:sz w:val="20"/>
        </w:rPr>
      </w:pPr>
      <w:r>
        <w:rPr>
          <w:rFonts w:ascii="Times New Roman" w:hAnsi="Times New Roman"/>
          <w:b/>
          <w:i/>
          <w:color w:val="000000"/>
          <w:sz w:val="20"/>
        </w:rPr>
        <w:t>Adverse results of clinical trials conducted by third parties investigating the same product candidates as us in different territories could adversely affect our development of such product candidate.</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Lack of efficacy, adverse events, undesirable side effects or other adverse results may emerge in clinical trials conducted by third parties investigating our approved product or the same product candidates as us in different territories for the same or different indications. For example, we may in the future enter into collaborations for the development and commercialization of the ADC Therapies or other product candidates that we may develop in certain foreign jurisdictions. As part of these collaborations, we may grant such collaboration partners the right to develop and commercialize the same compounds licensed to us, including the ADC Therapies, in such foreign jurisdictions. As a result, we may not have control over clinical trials or development programs of such third parties that we may collaborate with in the future, and any adverse findings or unexpected side effects from such third party’s conduct of clinical trials could adversely affect our development and commercialization of the ADC Therapies, if approved, or the viability of the ADC Therapies as a product candidate. We may be required to report these adverse events or unexpected side effects to the FDA or comparable foreign regulatory authorities, which could, among other things, order us to cease further development of the ADC Therapies.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If we experience delays or difficulties in the enrollment and/or maintenance of patients in clinical trials, our regulatory submissions or receipt of necessary regulatory approvals could be delayed or prevented.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may not be able to initiate or continue clinical trials for the ADC Therapies or any future product candidates if we are unable to locate and enroll a sufficient number of eligible patients to participate in these trials to such trial’s conclusion as required by the FDA, EMA or other comparable foreign regulatory authorities. Patient enrollment is a significant factor in the timing of clinical trials. Our ability to identify and enroll eligible patients for clinical trials may be limited or may result in slower enrollment than we anticipate. In particular, because we are focused on patients with specific genetic alterations for certain of our development programs, our ability to enroll eligible patients may be limited or may result in slower enrollment than anticipated. We may also engage third parties to develop companion diagnostics for use in our clinical trials, but such third parties may not be successful in developing such companion diagnostics, furthering the difficulty in identifying patients with the targeted genetic alterations for our clinical trials. If our strategies for patient identification prove unsuccessful, we may have difficulty enrolling or maintaining patients appropriate for the ADC Therapies or other product candidates.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Patient enrollment may be affected if our competitors have ongoing clinical trials for product candidates that are under development for the same indications as the ADC Therapies or any future product candidates, and patients who would otherwise be eligible for our clinical trials instead enroll in clinical trials of our competitors’ product candidates.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Also, marketing authorization of competitors in this same class of drugs may impair our ability to enroll patients into our clinical trials, delaying or potentially preventing us from completing recruitment for one or more of our trials. Patient enrollment and retention for clinical trials may be affected by other factors, including:</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size and nature of the patient population;</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severity of the disease under investigation;</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availability and efficacy of approved drugs for the disease under investigation;</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patient eligibility criteria for the trial in question as defined in the protocol or as mandated by regulatory agencies;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perceived risks and benefits of the product candidate under study;</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clinicians’ and patients’ perceptions as to the potential advantages and side effects of the product candidate being studied in relation to other available therapies and product candidates, including any new products that may be approved or other product candidates being investigated for the indications we are investigating;</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ability to recruit clinical study investigators with the appropriate competencies and experience;</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clinicians’ willingness to screen their patients for biomarkers to indicate which patients may be eligible for enrollment in our clinical trials;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patient referral practices of physicians;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ability to obtain and maintain patient consents;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ability to monitor patients adequately during and after treatment;</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proximity and availability of clinical trial sites for prospective patients; and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factors we may not be able to control, such as current or potential pandemics that may limit patients, principal investigators or staff or clinical site availability (e.g., the COVID-19 pandemic).</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inability to enroll a sufficient number of patients for our clinical trials could result in significant delays or may require us to abandon one or more clinical trials altogether. Furthermore, any negative results we may report in clinical trials of the ADC Therapies or any future product candidates may make it difficult or impossible to recruit and retain patients in other clinical trials we are conducting. Similarly, negative results reported by our competitors about their ADC drug candidates may negatively affect patient recruitment in our clinical trials. Enrollment delays in our clinical trials may result in increased development costs for the ADC Therapies and any other product candidates that we may develop and jeopardize our ability to obtain regulatory approval for such product candidates. Furthermore, even if we are able to enroll a sufficient number of patients for our clinical trials, there is a risk that patients enrolled in clinical trials will drop out of the trials before completion or, because they may be late-stage cancer patients, may not survive the full terms of the clinical trials. As a result, we may have difficulty maintaining participation in our clinical trials through treatment and any follow-up periods. In addition, we rely on clinical trial sites to ensure timely conduct of our clinical trials and, while we have entered into agreements governing their services, we are limited in our ability to compel their actual performance.</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may develop product candidates in combination with other therapies, which exposes us to additional risks.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We may develop product candidates, in combination with one or more currently approved or unapproved therapies to treat cancer or other diseases. Patients may not be able to tolerate product candidates in combination with other therapies or dosing of product candidates in combination with other therapies may have unexpected consequences. Even if any of our product candidates that we develop in the future were to receive regulatory approval or be commercialized for use in combination with other existing therapies, we would continue to be subject to the risks that the FDA, EMA or other comparable foreign regulatory authorities could revoke approval of the therapy used in combination with such products, or safety, efficacy, manufacturing or supply issues could arise with these existing therapies. In addition, it is possible that existing therapies with which product candidates are approved for use could themselves fall out of favor or be relegated to later lines of treatment. This could result in the need to identify other combination therapies for product candidates, the FDA, EMA or comparable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foreign regulatory authorities in other jurisdictions requiring additional clinical trials, or our own products being removed from the market or being less successful commercially.</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may also evaluate product candidates in combination with one or more other therapies that have not yet been approved for marketing by the FDA, EMA or comparable foreign regulatory authorities. We will not be able to market a product candidate in combination with any such unapproved therapies that do not ultimately obtain regulatory approval.</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If the FDA, EMA or other comparable foreign regulatory authorities do not approve or revoke their approval of these other therapies, or if safety, efficacy, commercial adoption, manufacturing or supply issues arise with the therapies we choose to evaluate in combination with product candidate, we may be unable to obtain approval of or successfully market product candidates we develop. These unapproved therapies face the same risks described with respect to product candidates currently in development, including serious adverse effects and delays in their clinical trials. In addition, other companies may also develop their products or product candidates in combination with the unapproved therapies with which we are developing product candidates for use in combination. Any setbacks in these companies’ clinical trials, including the emergence of serious adverse effects, may delay or prevent the development and approval of product candidates that we may develop.</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Additionally, if the third-party providers of therapies or therapies in development used in combination with product candidates are unable to produce sufficient quantities for clinical trials or for commercialization of product candidates, if approved, or if the cost of combination therapies are prohibitive, our development and commercialization efforts would be impaired, which would have an adverse effect on our business, financial condition, results of operations and growth prospects. </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face substantial competition in oncology and in the ADC field,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Many companies are active in the oncology market and are developing or marketing products for the specific therapeutic markets that we target, including both antibody- and non-antibody-based therapies. Similarly, we also face competition from other companies and institutions that continue to invest in innovation in the ADC field, including new payload classes, new conjugation approaches and new targeting moieties. Specifically, we are aware of multiple companies with ADC technologies that may be competitive with our products and product candidates, including, but not limited to, AbbVie, Daiichi Sankyo, Day One Biopharmaceuticals, Eli Lilly, Genmab, GlaxoSmithKline, Gilead, Kelun, Mersana, Sanofi, Roche, Pfizer, Zymeworks, Ideaya, and Biocytogen. There are hundreds of ADCs in development, the vast majority of which are being developed for the treatment of cancer.</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Our industry is characterized by rapidly advancing technologies, intense competition and a strong emphasis on proprietary products. We face competition with respect to our current products and product candidates and will face competition with respect to any products and product candidates that we may seek to develop or commercialize in the future. We expect changes to the treatment paradigm, including potential new entrants and new approvals across the lines of therapies. New technologies, procedures or treatments could change the patient population and their eligibility to use our product candidates, raise expectations regarding safety and efficacy results that are necessary for regulatory approval and, if approved, adoption by the medical community, or otherwise render our products and product candidates obsolete and there can be no assurance that our products and product candidates would be able to compete effectively. If we are unable to compete with these new treatment options, physicians may not utilize our products and our future revenues and estimates may be negatively impacted.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competitors include large pharmaceutical and biotechnology companies, academic institutions, government agencies and other public and private research organizations that conduct research, seek patent protection and establish collaborative arrangements for research, development, manufacturing and commercialization. Any potential competitors may have significantly greater financial, manufacturing, marketing, drug development, technical and human resources, and commercial expertise than us.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the field before us.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any products that we may develop and commercialize. Our competitors also may obtain regulatory approval from the FDA, EMA or other comparable foreign regulatory authorities for their products more rapidly than we may obtain approval for our products, which could result in our competitors establishing a strong market position before we are able to enter the market. The product candidates we may develop which achieve regulatory approval,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any product candidates we may develop, if approved, could be adversely affected.</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Changes in methods of product candidate manufacturing or formulation may result in additional costs or delay.</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As product candidates progress through preclinical studies and clinical trials to regulatory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material changes will require regulatory approval before implementation and carry the risk that they will not achieve these intended objectives. Any of these changes could cause any product candidate that we may develop to perform differently and affect the results of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any product candidates that we may develop, if approved, and generate revenue.</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may not be successful in growing our product pipeline through acquisitions and in-licenses.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We believe that accessing external innovation and expertise is important to our success; and while we plan to leverage our leadership team’s prior business development experience as we evaluate potential in-licensing and acquisition opportunities to further expand our portfolio, such as with the in-license of the ADC Therapies,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may also be unable to license or acquire third-party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Our business entails a significant risk of product liability and if we are unable to obtain sufficient insurance coverage such inability could have a material adverse effect on our business and financial condition.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business exposes us to significant product liability risks inherent in the development, testing, manufacturing and marketing of therapeutic treatments. Product liability claims might be brought against us by patients, healthcare providers, or others selling or otherwise coming into contact with any product candidates that we may develop. For example, we may be sued if the ADC Therapies or any other product candidates that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become subject to product liability claims and cannot successfully defend against them, we could incur substantial liabilities. Product liability claims could delay or prevent completion of our development programs. If we succeed in marketing products, such claims could result in an FDA, EMA or other regulatory authority investigation of the safety and effectiveness of our products, our (or third-party)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Although we have obtained product liability insurance coverage, our insurance coverage may not provide sufficient coverage against potential liabilities. Furthermore, clinical trial and product liability insurance is becoming increasingly expensive. As a result, we may be unable to obtain or maintain sufficient insurance at a reasonable cost to protect us against losses caused by product liability claims that could have an adverse effect on our business and financial condition.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also cause our stock price to decline.</w:t>
      </w:r>
    </w:p>
    <w:p>
      <w:pPr>
        <w:pStyle w:val="TextBody"/>
        <w:bidi w:val="0"/>
        <w:spacing w:lineRule="auto" w:line="331" w:before="200" w:after="283"/>
        <w:jc w:val="both"/>
        <w:rPr>
          <w:rFonts w:ascii="Times New Roman" w:hAnsi="Times New Roman"/>
          <w:b/>
          <w:color w:val="000000"/>
          <w:sz w:val="20"/>
        </w:rPr>
      </w:pPr>
      <w:r>
        <w:rPr>
          <w:rFonts w:ascii="Times New Roman" w:hAnsi="Times New Roman"/>
          <w:b/>
          <w:color w:val="000000"/>
          <w:sz w:val="20"/>
        </w:rPr>
        <w:t>Risks Related to Regulatory Approval and Other Legal Compliance Matters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If the FDA does not conclude that a product candidate and/or new indications satisfy the requirements under the 505(b)(2) regulatory pathway, or if the requirements for such product candidate and/or new indications under Section 505(b)(2) are not as we expect, the approval pathway for such product candidates and/or new indications may take longer, cost more or entail greater complications and risks than anticipated, which may delay or prevent the approval of a product candidate and/or new indications for commercial use.</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submitted a Section 505(b)(2) NDA to the FDA in May 2021 for FYARRO for the treatment of advanced malignant PEComa, and the FDA approved the NDA on November 22, 2021. However, we may not be successful in obtaining FDA approval under 505(b)(2) regulatory pathway for the ADC Therapies or any other product candidates that we may develop.</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Section 505(b)(2) of the Federal Food, Drug, and Cosmetic Act (the “FDCA”) was enacted as part of the Drug Price Competition and Patent Term Restoration Act of 1984 (the “Hatch-Waxman Amendments”) and permits the submission of an NDA where at least some of the information required for approval comes from preclinical studies or clinical trials not conducted by or for the applicant and for which the applicant has not obtained a right of reference. The FDA interprets Section 505(b)(2) of the FDCA to permit the applicant to rely upon the FDA’s previous findings of safety and efficacy for an approved product. The FDA requires submission of information needed to support any changes to a previously approved drug, such as published data or new studies conducted by the applicant or clinical trials demonstrating safety and efficacy. The FDA is not required to meet the PDUFA goal date, and the FDA could require additional information to sufficiently demonstrate safety and efficacy to support approval. Moreover, even if any new indication or product candidate is approved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under the Section 505(b)(2) regulatory pathway, the approval may be subject to limitations on the indicated uses for which we may be marketed or to other conditions of approval, or may contain requirements for costly post-marketing testing and surveillance to monitor the safety or efficacy of the product.</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may be unable to obtain United States approval for product candidates that we may develop or foreign regulatory approval for product candidates that we may develop and, as a result, may be unable to commercialize any product candidates and in such event our business will be substantially harmed.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ADC Therapies and other product candidates that we may develop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time required to obtain approvals from the FDA and other regulatory authorities is unpredictable and requires successful completion of extensive clinical trials which typically takes many years, depending upon numerous factors, including the type, complexity and novelty of the product candidate. The standards that the FDA and our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 Regulatory authorities have substantial discretion in the approval process and may refuse to accept any application or may decide that our data are insufficient for approval and require additional preclinical, clinical or other studies. It is possible that none of our existing product candidates or any product candidates we may seek to develop in the future will ever obtain regulatory approval.</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Under the new leadership at the HHS under the current administration, agency reorganization, mass layoffs due to the reduction in force initiative and other measures implemented by the Department of Government Efficiency may impact the normal operations of the FDA as well as other federal agencies. FDA may lack adequate staff and resources to meet current review, approval, and inspection schedules, which could delay our anticipated timelines. In January 2025, an executive order entitled “Unleashing Prosperity Through Deregulation”, was issued which calls for at least 10 existing regulations to be repealed whenever an executive department or agency publicly proposes for notice and comment or otherwise promulgates a new regulation. It is unclear how our industry and our clinical programs will be impacted by policies and regulations implemented under the new administration and FDA commissioner, or other executive orders. Recent developments at the FDA include implementation of Elsa, a generative AI tool, across all centers at the agency, announcement of a plan to phase out animal testing for monoclonal antibodies and certain other drugs, and the announcement of a new Commissioner’s National Priority Voucher program to companies supporting certain U.S. national health priorities and interests. FDA has also increased its scrutiny of foreign drug manufacturing facilities and other contractors based in China, especially with respect to the transfer of biological materials, genetic data, and other sensitive data of American patients to parties located in China. There is significant uncertainty in the industry and how federal agencies like the FDA will change in the coming years under the new administration. To the extent the agency reorganization and other agency changes lead to disruptions in FDA’s operations, our correspondence and regulatory review processes with the FDA may be materially delayed.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 </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The regulatory approval processes of the FDA, EMA and other comparable foreign regulatory authorities are lengthy, time consuming and inherently unpredictable. If we are ultimately unable to obtain regulatory approval for product candidates that we may develop, we will be unable to generate product revenue, and our business will be substantially harmed.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Even if we eventually complete clinical testing and receive approval for any product candidates that we may develop,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Other than FYARRO, we have not obtained regulatory approval for any product candidate, and it is possible that none of our current or future product candidates will ever obtain regulatory approval.</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Further, regulatory approval may be delayed for reasons beyond our control. For example, events such as a United States federal government shutdown or budget sequestration, such as ones that occurred during 2013, 2018, 2019, 2025, and 2026 or the diversion of resources to handle the COVID-19 public health emergency and pandemic, may result in significant reductions to the FDA’s budget, employees and operations, which may lead to slower response times and longer review periods, potentially affecting our ability to obtain regulatory approval for our product candidates. Finally, our competitors may file citizens’ petitions with the FDA in an attempt to persuade the FDA that our product candidates, or the clinical trials that support their approval, contain deficiencies. Such actions by our competitors could delay or even prevent the FDA from approving any of our NDAs.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Applications for any future product candidates could fail to receive regulatory approval for many reasons, including the following:</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disagree with the design, implementation or results of our clinical trials;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determine that our product candidates are not safe or effective, are only moderately effective or have undesirable or unintended side effects, toxicities or other characteristics that preclude us from obtaining regulatory approval or prevent or limit commercial use;</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population studied in the clinical trial may not be sufficiently broad or representative to assure efficacy and safety in the full population for which we seek approval;</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FDA, EMA or other comparable foreign regulatory authorities may disagree with our interpretation of data from preclinical studies or clinical trials;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may be unable to demonstrate to the FDA, EMA or other comparable foreign regulatory authorities that our product candidate’s risk-benefit ratio for our proposed indication is acceptable;</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the FDA, EMA or other comparable foreign regulatory authorities may find deficiencies with or fail to approve the manufacturing processes, test procedures and specifications or facilities of third-party manufacturers with which we contract for clinical and commercial supplies;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FDA, EMA or other comparable regulatory authorities may fail to approve companion diagnostic tests for our product candidates, if required; and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approval policies or regulations of the FDA, EMA or other comparable foreign regulatory authorities may significantly change in a manner rendering our clinical data insufficient for approval.</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This lengthy approval process, as well as the unpredictability of the results of clinical trials, may result in us failing to obtain regulatory approval to market any of our product candidates, which would significantly harm our business, results of operations and prospects.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The FDA, EMA and other comparable foreign regulatory authorities may not accept data from trials conducted in locations outside of their jurisdiction.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clinical trials have been and may in the future be undertaken in the United States. We may choose to conduct additional clinical trials internationally as well.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regulatory approval in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are subject to risks relating to regulatory uncertainty in foreign jurisdictions.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Brexit and uncertainty in the regulatory framework as well as future legislation in the United Kingdom, European Union,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future clinical trials. The cumulative effects of the disruption to the regulatory framework, uncertainty in future regulation, and changes to existing regulations may increase our development lead time to marketing authorization and commercialization of products in the European Union and/or the United Kingdom and increase our costs. We cannot predict the impact of such changes and future regulation on our business or the results of our operations.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guarantee that we will be able to obtain or maintain regulatory approval in any other jurisdiction. For example, even if the FDA or EMA grants regulatory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The regulatory approval processes in other countries may implicate all of the risks detailed above regarding FDA approval in the United States, as well as other risks. In many jurisdictions outside the United States, a product candidate must be approved for reimbursement before it can be approved for sale in that jurisdiction. In some cases, the price that we intend to charge for our products is also subject to approval.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regulatory approvals, our target market will be reduced and our ability to realize the full market potential of a product candidate will be harmed.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Following Brexit, to the extent we conduct any operations in the United Kingdom, we will be subject to applicable regulatory requirements in the United Kingdom. Although the United Kingdom is no longer a member of the European Union, European Union law remains applicable in Northern Ireland, as set forth in the Protocol on Ireland and Northern Ireland and as amended by the Windsor Framework, which was implemented in Northern Ireland on January 1, 2025. There are a number of new marketing authorization routes available in the United Kingdom, Great Britain (England, Scotland and Wales) or Northern Ireland, in addition to the national procedure. As with the European Union position, a company can only start to market a medicine in the United Kingdom once it has received a marketing authorization. The main legislation that applies to clinical trials in the United Kingdom is the UK Medicines for Human Use (Clinical Trials) Regulations 2004, which transposes the Clinical Trials Directive into domestic law. Consequently, the requirements and obligations that relate to the conduct of clinical trials in the United Kingdom currently remain largely aligned with the European Union position. It is unclear how future regulatory regime in the United Kingdom will impact regulations of products, manufacturers, and approval of product candidates in the United Kingdom. In the immediately foreseeable future, the United Kingdom regulatory approval process is likely to remain similar to that applicable in the European Union, albeit that the processes for applications will be separate. Longer term, the United Kingdom is likely to develop its own legislation that diverges from that in the European Union.</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The ADC Therapies and any other product candidate we may develop for which we obtain marketing approval for could be, subject to post-marketing restrictions or recall or withdrawal from the market, and we may be subject to penalties if we or our collaborators fail to comply with regulatory requirements or if we or our collaborators experience unanticipated problems with any product candidate we may develop when and if any of them are approved.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The ADC Therapies and any other product candidate we may develop for which we obtain marketing approval could be, subject to a comprehensive regulatory scheme, which includes the regulation of manufacturing processes, post-approval clinical data, labeling, advertising, marketing, distribution and promotional activities for such product, by the FDA and other regulatory authorities. The FDA has significant post-marketing authority, including, for example, the authority to require labeling changes based on new safety information and to require post-marketing studies or clinical trials to evaluate serious safety risks related to the use of a drug. For example, the FDA may require the submission of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Any REMS required by the FDA may lead to increased costs to assure compliance with new post-approval regulatory requirements and potential requirements or restrictions on the sale of approved products, all of which could lead to lower sales volume and revenue.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good laboratory practices (“GLPs”)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Accordingly, we and others with whom we work must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continue to expend time, money, and effort in all areas of regulatory compliance, including manufacturing, production, and quality control.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If marketing approval of the ADC Therapies and any other product candidate we may develop is granted, such product candidates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We may be required, as a condition of approval of an NDA for a product candidate, to conduct certain post-marketing requirements (“PMR”) and/or post-marketing commitments (“PMC”). If we fail to comply with the PMR and/or PMC, the FDA may take enforcement actions, which may include, among other things, the issuance of a Warning Letter and assessing civil monetary penalties. The product may also be deemed misbranded.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If any product candidate that we may develop receives marketing approval they may, have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The FDA may also impose requirements for costly post-marketing studies or clinical trials and surveillance to monitor the safety or efficacy of the product. The FDA closely regulates the post-approval marketing and promotion of products to ensure products are marketed only for the approved indications and in accordance with the provisions of the approved labeling. The FDA imposes stringent restrictions on manufacturers’ communications regarding off-label use and if we do not market our prodrug products, if any, for their approved indications, we may be subject to enforcement action for off-label marketing.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Violations of the Federal Food, Drug and Cosmetic Act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will be required to report certain adverse reactions and production problems, if any, to the FDA and comparable foreign regulatory authorities.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Any new legislation addressing drug safety issues could result in delays in product development or commercialization, or increased costs to assure compliance. In addition, failure to comply with FDA, EMA and other comparable foreign regulatory requirements may have negative consequences, including:</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adverse inspection findings;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additional warnings or otherwise restrict the product’s indicated use, label, or marketing;</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restrictions on a product, distribution, manufacturers or manufacturing processes;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issuance of warning letters, safety alerts, dear-healthcare-provider letters, press releases or other communications containing warnings regarding the product that would result in adverse publicity;</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voluntary or mandatory product recalls and publicity requirements or withdrawal of a product from the market;</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suspension or withdrawal of marketing or regulatory approvals or other permits or voluntary;</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product seizures, detentions or import bans;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total or partial suspension of production;</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imposition of restrictions on operations, including costly new manufacturing requirements;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requirement to establish or modify a REMS;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requirement to conduct post-marketing studies or surveillance;</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restrictions on drug distribution or use;</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requirements to conduct post-marketing studies or clinical trials;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refusal to approve pending applications or supplements to approved applications that we submit and other delays;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delays in or the rejection of approvals of additional indications for a product;</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restrictions on our ability to conduct clinical trials, including full or partial clinical holds on, or the suspension or termination of, future trials;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fines, restitution or disgorgement of profits or revenue;</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reputational harm;</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refusal of government contracts or future orders under existing contracts, exclusion from participation in federal health care programs; or</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injunctions or the imposition of civil or criminal penalties, including False Claims Act liability.</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holder of an approved NDA or comparable regulatory approval must submit new or supplemental applications and obtain approval for certain changes to the approved product, product labeling, or manufacturing process and the FDA or comparable foreign regulatory authority may refuse to approve pending applications or supplements to approved applications filed by us.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occurrence of any event or penalty described above may inhibit our ability to commercialize any product candidates that we may develop, if approved, and generate revenue. If regulatory sanctions are applied or if regulatory approval is withdrawn, our value and operating results will be adversely affected.</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The FDA and other regulatory agencies actively enforce the laws and regulations prohibiting the promotion of off-label uses.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If we are found to have improperly promoted off-label uses of FYARRO prior to its divestiture or any product candidate that we may develop, including the ADC Therapies, if approved, we may become subject to significant liability. The FDA and other regulatory agencies, including the U.S. Department of Justice, strictly regulate the post-approval marketing and promotional claims that may be made about prescription products. In particular, a product may not be promoted for uses that are not approved by the FDA or such other regulatory agencies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As such, we may not promote our products for indications or uses for which they do not have approval. For example, physicians may, in their practice of medicine, use drug products for their patients in a manner that is inconsistent with the approved label. If we, or any of our contractors or agents acting on behalf of us, are found to have promoted such off-label uses, we may become subject to significant liability. The United States federal government has levied large civil and criminal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any product candidate that we may develop, if approved, we could become subject to significant liability, which would materially adversely affect our business and financial condition.</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If we are required by the FDA to obtain approval of a companion diagnostic product in connection with approval of any future product candidates or new indication that we may develop, and if we fail to obtain or face delays in obtaining FDA approval of such companion diagnostic product, we will not be able to commercialize such product candidate intended for use with such companion diagnostic product and our ability to generate revenue from such product candidate will be materially impaired.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connection with the development of any future product candidates or new indications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any future product candidates or new indication we may develop. To be successful in developing and commercializing such product candidate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future product candidate or new indication that we may develop, whether before or concurrently with approval of such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such product candidate.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In June 2023, FDA announced a new voluntary pilot program through which drug manufacturers can provide to the FDA the diagnostic test performance information used to enroll patients into clinical trials for drug approval. Based on assessment of the performance information, the FDA will publish the minimum performance characteristics recommended for similar tests that may be used to select patients for treatment with the approved drug to help laboratories identify specific biomarkers for their development of laboratory-developed tests, or LDTs, and to ensure more consistent performance of these tests for drug selection and improved cancer patient care. In 2025, the U.S. District Court for the Eastern District of Texas vacated FDA’s LDT Final Rule, declaring that LDTs are not devices regulated by the FDA under the Federal Food, Drug, and Cosmetic Act (FD&amp;C Act) and instead are professional services regulated by the CMS under the Clinical Laboratory Improvement Amendments of 1988. In January 2024, FDA announced its plans to reclassify certain high-risk in vitro diagnostics, including companion diagnostics, as Class II (or moderate risk) devices. We will continue to evaluate the impact of FDA guidance and other developments in the diagnostic space.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companion diagnostic development plans or we may not be able to compete effectively upon approval, which could adversely impact our ability to generate revenue from the sale of our approved products and our business operations.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including issues with achieving regulatory clearance or approval, production of sufficient quantities at commercial scale and with appropriate quality standards, and in gaining market acceptance. If we are unable to successfully develop companion diagnostics for any future product candidate or new indication, or experience delays in doing so, the development of such product candidate may be adversely affected, the product candidate may not obtain marketing approval, and we may not realize the full commercial potential of such product candidate after obtaining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any such future product candidate or our relationship with such diagnostic company may otherwise terminate. We may not be able to enter into arrangements with another diagnostic company to obtain supplies of an alternative diagnostic test for use in connection with the development and commercialization of any such future product or new indication. or do so on commercially reasonable terms, which could adversely affect and/or delay the development or commercialization of any such future product candidate we may develop.</w:t>
      </w:r>
    </w:p>
    <w:p>
      <w:pPr>
        <w:pStyle w:val="TextBody"/>
        <w:bidi w:val="0"/>
        <w:spacing w:lineRule="auto" w:line="331" w:before="200" w:after="283"/>
        <w:jc w:val="both"/>
        <w:rPr>
          <w:rFonts w:ascii="Times New Roman" w:hAnsi="Times New Roman"/>
          <w:sz w:val="20"/>
        </w:rPr>
      </w:pPr>
      <w:r>
        <w:rPr>
          <w:rFonts w:ascii="Times New Roman" w:hAnsi="Times New Roman"/>
          <w:b/>
          <w:i/>
          <w:color w:val="000000"/>
          <w:sz w:val="20"/>
        </w:rPr>
        <w:t>We may seek Fast Track designations from the FDA for our product candidates. Even if one or more of our product candidates receive Fast Track designation, we may not lead to a faster development or review process, or we may be unable to maintain or effectively utilize such a designation.</w:t>
      </w:r>
      <w:r>
        <w:rPr>
          <w:rFonts w:ascii="Times New Roman" w:hAnsi="Times New Roman"/>
          <w:color w:val="000000"/>
          <w:sz w:val="20"/>
        </w:rPr>
        <w:t xml:space="preserve">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may seek Fast Track designation for our product candidates, and we may not be successful in securing such additional designation or in expediting development if such designations were received. Even if we receive Fast Track designation for product candidates, the FDA may withdraw such Fast Track designation if it believes that the Fast Track designation is no longer supported by data from our clinical development program.</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Fast Track designation is designed to facilitate the development and expedite the review of therapies intended for the treatment of a serious or life-threatening condition which demonstrates the potential to address unmet medical needs for the condition.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product candidates that we may develop that receives Fast Track designation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The FDA may withdraw any Fast Track Designation at any time. Furthermore, Fast Track designation does not change the standards for approval. Fast Track designation alone does not guarantee qualification for the FDA’s priority review procedures and we may not experience a faster development process, review or approval compared to conventional FDA procedures.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Breakthrough Therapy designation is for a product candidate that is intended, alone or in combination with one or more other drugs or biologics,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A sponsor may request the FDA to designate our product candidate as a Breakthrough Therapy at the time of, or any time after, the submission of an IND for the product candidate. For product candidates that have been designated as a Breakthrough Therapy, the FDA may take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actions appropriate to expedite the development and review of the application, which may include holding meetings with the sponsor and the review team throughout the development of the product candidate; providing timely advice to, and interactive communication with, the sponsor regarding the development of the product candidate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FDA has broad discretion in determining whether to grant a Fast Track or Breakthrough Therapy designation for a drug. Obtaining a Fast Track or Breakthrough Therapy designation does not change the standards for product approval but may expedite the development or approval process. There is no assurance that the FDA will grant either such designation for any other indication or product candidate that we may pursue. Even if the FDA does grant either such designation, it may not actually result in faster clinical development or regulatory review or approval. Furthermore, such a designation does not increase the likelihood that a product candidate will receive regulatory approval in the United States in other indications.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may not be able to obtain or maintain orphan drug designation or obtain or maintain orphan drug exclusivity for any product candidates and, even if we do, such exclusivity may not prevent the FDA, EMA or other comparable foreign regulatory authorities, from approving competing products.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any product candidates.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pStyle w:val="TextBody"/>
        <w:bidi w:val="0"/>
        <w:spacing w:lineRule="auto" w:line="331" w:before="200" w:after="283"/>
        <w:jc w:val="both"/>
        <w:rPr>
          <w:rFonts w:ascii="Times New Roman" w:hAnsi="Times New Roman"/>
          <w:sz w:val="20"/>
        </w:rPr>
      </w:pPr>
      <w:r>
        <w:rPr>
          <w:rFonts w:ascii="Times New Roman" w:hAnsi="Times New Roman"/>
          <w:color w:val="000000"/>
          <w:sz w:val="20"/>
        </w:rPr>
        <w:t xml:space="preserve">In </w:t>
      </w:r>
      <w:r>
        <w:rPr>
          <w:rFonts w:ascii="Times New Roman" w:hAnsi="Times New Roman"/>
          <w:i/>
          <w:color w:val="000000"/>
          <w:sz w:val="20"/>
        </w:rPr>
        <w:t>Catalyst Pharms., Inc. v. Becerra</w:t>
      </w:r>
      <w:r>
        <w:rPr>
          <w:rFonts w:ascii="Times New Roman" w:hAnsi="Times New Roman"/>
          <w:color w:val="000000"/>
          <w:sz w:val="20"/>
        </w:rPr>
        <w:t xml:space="preserve">, 14 F.4th 1299 (11th Cir. 2021), the court disagreed with the FDA’s longstanding position that the orphan drug exclusivity only applies to the approved use or indication within an eligible disease. This decision created uncertainty in the application of the orphan drug exclusivity. On January 24, 2023, the FDA published a notice in the Federal Register to clarify that while the agency complies with the court’s order in </w:t>
      </w:r>
      <w:r>
        <w:rPr>
          <w:rFonts w:ascii="Times New Roman" w:hAnsi="Times New Roman"/>
          <w:i/>
          <w:color w:val="000000"/>
          <w:sz w:val="20"/>
        </w:rPr>
        <w:t>Catalyst</w:t>
      </w:r>
      <w:r>
        <w:rPr>
          <w:rFonts w:ascii="Times New Roman" w:hAnsi="Times New Roman"/>
          <w:color w:val="000000"/>
          <w:sz w:val="20"/>
        </w:rPr>
        <w:t xml:space="preserve">, the FDA intends to continue to apply its longstanding interpretation of the regulations to matters outside of the scope of the </w:t>
      </w:r>
      <w:r>
        <w:rPr>
          <w:rFonts w:ascii="Times New Roman" w:hAnsi="Times New Roman"/>
          <w:i/>
          <w:color w:val="000000"/>
          <w:sz w:val="20"/>
        </w:rPr>
        <w:t>Catalyst</w:t>
      </w:r>
      <w:r>
        <w:rPr>
          <w:rFonts w:ascii="Times New Roman" w:hAnsi="Times New Roman"/>
          <w:color w:val="000000"/>
          <w:sz w:val="20"/>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The Consolidated Appropriations Act of 2026, signed into law in February 2026, codified this longstanding FDA interpretation of the Orphan Drug Act, allowing the FDA to approve multiple versions of the same orphan drug for different subindications and subpopulations.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Even if orphan drug designation is granted, we may not be able to obtain or maintain orphan drug exclusivity for that product candidate. We may not be the first to obtain regulatory approval of any product candidate for which we have obtained orphan drug designation for the orphan-designated indication due to the uncertainties associated with developing pharmaceutical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that the orphan drug exclusivity may not effectively protect an approved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 Further, changes in the leadership of the FDA and other federal agencies under the current administration may also lead to new policies and changes in the regulations and operations of the FDA, which may impact our clinical development plans. In April 2025, the President issued an executive order and an accompanying fact sheet focused on lowering drug prices, but it is unclear what actions will be implemented by the Department of Health and Human Services, CMS, and FDA under the new leadership, and how those actions will impact our industry and our business.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may be unable to obtain orphan drug designation or orphan drug exclusivity for any other product candidate, or we may be unable to successfully commercialize a product candidate for such orphan population due to risks that include:</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orphan patient populations may change in size;</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there may be changes in the treatment options for patients that may provide alternative treatments;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development costs may be greater than projected revenue of drug sales for the orphan indications;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regulatory agencies may disagree with the design or implementation of our clinical trials;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there may be difficulties in enrolling patients for clinical trials;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product candidate may not prove to be efficacious in the respective orphan patient populations;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clinical trial results may not meet the level of statistical significance required by the regulatory agencies; and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product candidate may not have a favorable risk/benefit assessment in the respective orphan indication.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If we are unable to obtain regulatory approval for a product candidate in any other orphan population for which we obtain orphan drug designation or we are unable to successfully commercialize a product candidate, if approved, for such orphan population, it could harm our business prospects, financial condition and results of operations.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PMRs, the FDA may seek to withdraw accelerated approval.</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Where possible, we plan to pursue accelerated development strategies in areas of high unmet need. We may seek an accelerated approval pathway for future product candidates. Under the accelerated approval provisions in the FDA, and the FDA’s implementing regulations, the FDA may grant accelerated approval to a product candidate designed to treat a serious or life-threatening condition that generally provides a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 In addition, the FDA currently requires as a condition for accelerated approval pre-approval of promotional materials, which could adversely impact the timing of the commercial launch of the product. The Food and Drug Omnibus Reform Act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To the extent the FDA requires us to amend the design of our clinical trials or requires additional trials to meet changes in the data requirements for approval, our clinical timelines and approval will be delayed, which can have an adverse effect on our business and operations.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a product candidate would result in a longer time period to commercialization of such product candidate, could increase the cost of development of such product candidate and could harm our competitive position in the marketplace.</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may face difficulties from changes to current regulations and future legislation.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Existing regulatory policies may change, and additional government regulations may be enacted that could prevent, limit or delay regulatory approval of any product candidates that we may develop.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For example, in March 2010, the Patient Protection and Affordable Care Act of 2010, as amended by the Health Care and Education Reconciliation Act of 2010 (the “ACA”), was passed, which substantially changes the way healthcare is financed by both the government and private insurers, and significantly impacts the United States pharmaceutical industry. Some of the provisions of the ACA have been subject to judicial and Congressional challenges, and in June 2021, the Supreme Court held that Texas and other challengers had no legal standing to challenge the ACA, dismissing the case without specifically ruling on the constitutionality of the ACA.</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pricing and manufacturer patient programs, and reform government program reimbursement methodologies for drug products. For example, under the American Rescue Plan the statutory cap on Medicaid Drug Rebate Program rebates that manufacturers pay to state Medicaid programs will be eliminated. Elimination of this cap may require a pharmaceutical manufacturer to pay more in rebates than it receives on the sale of products, which could have a material impact on our business. Further, in July 2021, the Biden administration released an executive order, “Promoting Competition in the American Economy,” with multiple provisions aimed at increasing competition for prescription drugs. In August 2022, Congress passed the Inflation Reduction Act of 2022 (the "Inflation Reduction Act"),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7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have initiated lawsuits against the federal government asserting that the price negotiation provisions of the Inflation Reduction Act are unconstitutional. In June 2026, the CMS issued a proposed rule that would codify policies established in guidance documents for the Medicare Drug Price Negotiation Program for initial price applicability year 2029 and beyond. CMS plans to release guidance to implement policies related to the effectuation of the MFP for the Medicare Drug Price Negotiation Program for 2028, consistent with the Inflation Reduction Act.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If HHS begins to set most-favored-nation pricing targets for prescription drugs, including the use of international pricing reference to set drug prices in the United States, or increases generic and biosimilar drug entry sooner than expected, that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future legislative, executive, and administrative actions and agency rules implemented by the current administration on us and the pharmaceutical industry as a whole is unclear. A number of states are considering or have recently enacted state drug price transparency and reporting laws that could substantially increase our compliance burdens and expose us to greater liability under such laws after obtaining regulatory approval for any of the product candidates that we may develop.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addition, 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2032, unless additional congressional action is taken. In January 2013, former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any product candidates that we may develop, if approved, and accordingly, our financial operations.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Additionally, FDA has authorized the state of Florida to develop a program to import certain prescription drugs from Canada for a limited period to help reduce drug costs, provided that Florida’s Agency for Health Care Administration meets the requirements set forth by the FDA. Other states may follow Florida.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pStyle w:val="TextBody"/>
        <w:bidi w:val="0"/>
        <w:spacing w:lineRule="auto" w:line="331" w:before="200" w:after="283"/>
        <w:jc w:val="both"/>
        <w:rPr>
          <w:rFonts w:ascii="Times New Roman" w:hAnsi="Times New Roman"/>
          <w:sz w:val="20"/>
        </w:rPr>
      </w:pPr>
      <w:r>
        <w:rPr>
          <w:rFonts w:ascii="Times New Roman" w:hAnsi="Times New Roman"/>
          <w:color w:val="000000"/>
          <w:sz w:val="20"/>
        </w:rPr>
        <w:t xml:space="preserve">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Congress of the FDA’s approval process may significantly delay or prevent regulatory approval, as well as subject us to more stringent product labeling and post-marketing testing and other requirements. Further, in view of the Supreme Court decision in </w:t>
      </w:r>
      <w:r>
        <w:rPr>
          <w:rFonts w:ascii="Times New Roman" w:hAnsi="Times New Roman"/>
          <w:i/>
          <w:color w:val="000000"/>
          <w:sz w:val="20"/>
        </w:rPr>
        <w:t>Loper Bright Enterprises v. Raimondo</w:t>
      </w:r>
      <w:r>
        <w:rPr>
          <w:rFonts w:ascii="Times New Roman" w:hAnsi="Times New Roman"/>
          <w:color w:val="000000"/>
          <w:sz w:val="20"/>
        </w:rPr>
        <w:t>, this landmark decision may invite various stakeholders to bring lawsuits against the FDA to challenge longstanding decisions and policies, including market exclusivities, which could lead to uncertainties in the industry. Further, changes in the leadership of the FDA and other federal agencies under the current administration may also lead to new policies and changes in the regulations and operations of the FDA, which may impact our clinical development plans.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action, either in the United States or in other jurisdictions.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Additionally, the collection and use of health data in the European Union is governed by the General Data Protection Regulation (the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European Union member states may result in fines up to €20.0 million or up to 4% of the total worldwide annual turnover of the preceding financial year, whichever is higher, and other administrative penalties. Additionally, the UK has implemented legislation that substantially implements the GDPR, the UK GDPR, which provides for similar obligations and provides for penalties for noncompliance of up to the greater of £17.5 million or four percent of worldwide revenues. The UK enacted the UK Data (Use and Access) Act 2025 on June 19, 2025, which made targeted amendments to the UK GDPR and the UK Data Protection Act. The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European Union also has enacted numerous laws and regulations addressing cybersecurity. Similar laws have been proposed, and in certain cases enacted, in other foreign jurisdictions. For example, on August 20, 2021, the Personal Information Protection Law (“PIPL”) of the People’s Republic of China was adopted and went into effect on November 1, 2021. The PIPL allows for fines of up to 50 million renminbi or 5% of a covered company’s revenue in the prior year.</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PIPL shares similarities with the GDPR, including extraterritorial application, data minimization, data localization, and purpose limitation requirements, and limitations on cross-border data transfers. These developments and regimes and other regulatory regimes, guidance, or developments may impose additional obligations with respect to cross-border data transfers, all of which could restrict our activities in certain jurisdictions, limit our ability to provide our products and services or engage in other activities in certain jurisdictions, require us to modify our policies and practices, and to engage in additional contractual negotiations, or increase our costs and obligations and impose limitations upon our ability to efficiently transfer personal data across borders. Any of these events, if occurring, could adversely affect the manner in which we conduct our business and thus materially affect our operations and financial results.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More generally, state and foreign laws addressing privacy, data protection and cybersecurity may apply to the privacy, protection, security, and collection, use, transfer, retention, and other processing of information we maintain, and may differ from each other in significant ways, thus complicating compliance efforts. For example, the California Consumer Privacy Act of 2018 (the “CCPA”), which took effect on January 1, 2020, and subsequently was amended and supplemented by the CPRA,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Numerous other states in the U.S. have proposed or enacted similar legislation. While the CCPA and many other similar state laws exempt some data regulated by the Health Insurance Portability and Accountability Act of 1996 (“HIPAA”) and certain clinical trials data, the CCPA and such other laws, to the extent applicable to our business and operations, may increase our compliance costs and potential liability. Further, some states have enacted more specific legislation, such as Washington’s enactment of the My Health, My Data Act, which includes a private right of action. The U.S. federal government is also contemplating federal privacy legislation, and the U.S. Department of Justice has issued rules regarding certain bulk sensitive personal data transfers. The evolving trend toward more stringent laws and regulations in the United States relating to privacy, data protection and cybersecurity, including the foregoing laws and regulations and the potential for future laws and regulations, could increase our compliance costs and potential liability and adversely affect our business.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It is possible that the GDPR, UK GDPR, CCPA, CPRA, or other laws and regulations relating to privacy, data protection and cybersecurity may be interpreted and applied in a manner that is inconsistent from jurisdiction to jurisdiction or inconsistent with our policies and practices. We cannot guarantee that we are in compliance with all such laws and regulations, and we cannot be sure how these laws and regulations will be interpreted, enforced or applied to our operations.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Furthermore, various jurisdictions are introducing or enhancing laws, rules, and regulations relating to privacy, data protection and cybersecurity, which could increase our compliance costs and the risks associated with noncompliance. It is possible that these laws may be interpreted and applied in a manner that is inconsistent with our practices, and our efforts to comply with the evolving data protection rules may be unsuccessful. Our actual or alleged non-compliance could result in government-imposed fines or orders requiring that we change our practices, which could adversely affect our business. In addition to the risks associated with enforcement activities and potential contractual liabilities, our ongoing efforts to comply with evolving laws and regulations at the federal and state level in various jurisdictions may be costly and require ongoing modifications to our policies, procedures, and systems. The GDPR, UK GDPR, and other laws and regulations addressing privacy, data protection and cybersecurity may increase our responsibility and liability in relation to personal data that we may process, and we may be required to put in place additional mechanisms in an effort to comply with them.</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Our actual or perceived failure to adequately comply with applicable laws and regulations or other actual or asserted obligations relating to privacy, data protection and cybersecurity, or to protect personal data and other data we process or maintain, could result in regulatory enforcement actions against us, including fines, imprisonment of company officials and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public censure, claims for damages by affected individuals, other lawsuits or reputational and damage, all of which could materially affect our business, financial condition, results of operations, and growth prospects.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Inadequate funding, layoffs, and other policies impacting the normal operations of the FDA, the Securities and Exchange Commission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the payment of fees, and statutory, regulatory, and policy changes. Changes in the leadership of the FDA and other federal agencies under the current administration, including return-to-office policy, hiring freeze, layoffs, and other policies implemented by the Department of Government Efficiency, may lead to changes in the operations of the FDA and other agencies, which may have a material impact on the industry and our clinical development plans.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If a prolonged government shutdown occurs or if the FDA’s normal operations are disrupted,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If we fail to comply with other United States healthcare laws and compliance requirements, we could become subject to fines or penalties or incur costs that could have a material adverse effect on our business. Further, 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Healthcare providers and third-party payors play a primary role in the recommendation and prescription of any product candidates for which we obtain regulatory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regulatory approval. Restrictions under applicable federal and state healthcare laws and regulations may include the following:</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federal criminal laws that prohibit executing a scheme to defraud any healthcare benefit program or making, or causing to be made, false statements relating to healthcare matters;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FCPA, the U.K. Bribery Act of 2010, and other local anti-corruption laws that apply to our international activities;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federal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made to covered recipients in the previously year,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our failure to submit required information timely, accurately, and completely may result in significant civil monetary penalties and may increase our liability under other federal laws or regulations; and</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GDPR, the UK GDPR, and state laws and regulations, including general legislation such as the CCPA, and sector- or subject matter-specific laws and regulations, also govern the privacy and security of health information in some circumstances, many of which differ from each other in significant ways. Many state laws in the U.S. are not preempted by HIPAA, thus complicating compliance efforts. There are ambiguities as to what is required to comply with these state and other laws and regulations and if we fail or are alleged to comply with an applicable requirement of any of these laws or regulations, we could be subject to claims, demands, and litigation initiated by private individuals or entities, regulatory investigations and other proceedings, and fines, penalties, and other liabilities.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Because of the breadth of these laws and the narrowness of available statutory and regulatory exceptions or safe harbors, it is possible that some of our activities, including those of our contractors or agents who conduct business for or on behalf of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If we were to grow our business and expand our sales organization or rely on distributors outside of the United States, we would be at increased risk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alleged or found to be in violation of any of these laws or any other governmental regulations that may apply to us, we may be subject to significant consequences,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Any of the foregoing consequences could seriously harm our business and our financial results.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are exposed to the risk that our employees, independent contractors, consultants, commercial collaborators, principal investigators, CROs, suppliers and vendors may engage in fraud, misconduct or other improper activities. Misconduct by these parties could include intentional, reckless, and negligent conduct that fails to: comply with the regulations of the FDA and other comparable foreign regulatory authorities; provide true, complete and accurate information to the FDA and other comparable foreign regulatory authorities; comply with manufacturing standards we have established; comply with federal and state health care fraud and abuse laws and regulations and similar foreign fraudulent misconduct laws; and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certain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lineRule="auto" w:line="302" w:before="200" w:after="283"/>
        <w:jc w:val="both"/>
        <w:rPr>
          <w:rFonts w:ascii="Times New Roman" w:hAnsi="Times New Roman"/>
          <w:b/>
          <w:i/>
          <w:color w:val="000000"/>
          <w:sz w:val="20"/>
        </w:rPr>
      </w:pPr>
      <w:r>
        <w:rPr>
          <w:rFonts w:ascii="Times New Roman" w:hAnsi="Times New Roman"/>
          <w:b/>
          <w:i/>
          <w:color w:val="000000"/>
          <w:sz w:val="20"/>
        </w:rPr>
        <w:t>If we, or any contract manufacturers and suppliers we engage, fail to comply with environmental, health and safety laws and regulations, we could become subject to fines or penalties or incur costs that could have a material adverse effect on our business.</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The operations of our contractors may involve the use of hazardous and flammable materials, including chemicals and biological materials, and accordingly may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including any contamination at our current or past facilities and at third-party facilities, we could be held liable for any resulting damages, and any liability could exceed our resources. We also could incur significant costs associated with civil or criminal fines and penalties.</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lineRule="auto" w:line="302" w:before="200" w:after="283"/>
        <w:jc w:val="both"/>
        <w:rPr>
          <w:rFonts w:ascii="Times New Roman" w:hAnsi="Times New Roman"/>
          <w:b/>
          <w:i/>
          <w:color w:val="000000"/>
          <w:sz w:val="20"/>
        </w:rPr>
      </w:pPr>
      <w:r>
        <w:rPr>
          <w:rFonts w:ascii="Times New Roman" w:hAnsi="Times New Roman"/>
          <w:b/>
          <w:i/>
          <w:color w:val="000000"/>
          <w:sz w:val="20"/>
        </w:rPr>
        <w:t>Our business activities may be subject to the FCPA and similar anti-bribery and anti-corruption laws of other countries. Compliance with these legal requirements could limit our ability to compete in foreign markets and subject us to liability if we violate them.</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Our business activities may be subject to the FCPA and similar anti-bribery or anti-corruption laws, regulations or rules of other countries in which we operate, including the UK Bribery Act. The FCPA generally prohibits companies and their employees and third-party intermediaries from offering, promising, giving or authorizing others to give anything of value,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are employed by the government and would be considered foreign officials under the FCPA, and often the purchasers of pharmaceuticals are government entities; therefore, our dealings with these doctors, hospital employees and purchasers are subject to regulation under the FCPA. Recently, the SEC and DOJ have increased their FCPA enforcement activities with respect to biotechnology and pharmaceutical companies. There is no certainty that all of our employees, agents, collaborators,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Our business activities may be subject to United States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United States export control laws and economic sanctions prohibit the shipment of certain products and services to countries, governments, and persons targeted by United States sanctions. For example, the U.S. government and other governments in jurisdictions in which we may operate in the future have imposed severe sanctions and export controls against Russia and Russian interests and threatened additional sanctions and controls in connection with the conflict in Ukraine. The impact of these measures, as well as potential responses to them by Russia, is currently unknown and they could adversely affect our business, supply chain, business partners or customers.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Further, with rising international trade tensions or sanctions, our business may be adversely affected following new or increased tariffs that result in increased global clinical trial costs as a result of international transportation of clinical drug supplies, as well as the costs of materials and products imported into the United States. Tariffs, trade restrictions or sanctions imposed by the United States or other countries, including as a result geopolitical tension, such as a deterioration in the relationship between the United States and China, escalation in conflicts in Ukraine and the Middle East, including any additional sanctions, export controls or other restrictive actions that may be imposed by the United States and/or other countries against governmental or other entities in Russia, could increase the prices of our and our collaboration partners’ drug products, affect our and our collaboration partners’ ability to commercialize such drug products, or create adverse tax consequences in the United States or other countries. As a result, changes in international trade policy, changes in trade agreements and the imposition of tariffs or sanctions by the United States or other countries could materially adversely affect our results of operations and financial condition.</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recently implemented that will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lineRule="auto" w:line="331" w:before="200" w:after="283"/>
        <w:jc w:val="both"/>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Our product candidates are complex and can be difficult to manufacture.</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product candidates are complex and can be difficult to manufacture due to the advanced linker-payload architecture. Problems with the manufacturing process, including even minor deviations from the normal process, could result in product defects or manufacturing failures that result in lot failures, product recalls, product liability claims, and insufficient inventory, negative impact on our sales and results of operations and make us a less attractive collaborator for potential partners or subject us to liability for any contamination or injury or failure to comply with applicable laws. We may encounter problems achieving adequate quantities and quality of clinical-grade materials that meet FDA, EMA or other applicable standards or specifications with consistent and acceptable production yields and costs. There can be no assurance that manufacturing issues will not occur in the future.</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are currently dependent on single-source suppliers for our product candidates and their components, any issues with any such suppliers, including increases in costs or expenses or delays in supply, could harm our business.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currently rely on third parties to manufacture or supply our product candidates and their components and raw materials, many of which are sole source manufacturers and suppliers. For the near term, Hangzhou DAC will continue to manufacture the CPT113 linker-payload and WuXi Biologics will continue to manufacture the antibodies underlying our ADC product candidates. A subsidiary of WuXi Biologics will carry forward majority of the IND-enabling CMC, including antibody development, bioconjugation and fill and finish.</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Although we have arrangements in place for the manufacture and supply of our product candidates and its key components, our manufacturers or suppliers could discontinue the manufacturing or supply at any time. Our manufacturers or suppliers may not be able to meet our demand whether because of acts of nature, the nature of our agreements with those manufacturers or suppliers or our relative importance to them as a customer, and our manufacturers and suppliers may decide in the future to discontinue or reduce the level of business they conduct with us either entirely or for a particular territory. The loss of any of the foregoing would require significant time and effort to locate and qualify an alternative source of supply, including efforts involved in the technology transfer. These third parties could also seek to renegotiate our arrangements and require that we pay more for the manufacture or supply. Any contractual disputes between us and our manufacturers or suppliers, or the loss of manufacturing ability by such parties could similarly require significant time, effort and expense and materially harm our business.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addition, we might not be able to identify and qualify additional or replacement suppliers for our product candidates, its key components or the key raw materials used in the manufacture of our product candidates on a timely basis or at all or without incurring significant additional costs. We cannot guarantee that we will be able to establish alternative relationships on similar terms, without delay or at all. We may also face delays in our clinical trials or regulatory delays or be required to seek additional regulatory clearances or approvals if we experience any delay or deficiency in the quality of products obtained from suppliers or if we have to replace our suppliers.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Furthermore, there is a risk of contamination during manufacturing. Any contamination could materially harm our ability to produce products and product candidates on schedule and could cause reputational damage. Some of the raw materials could be difficult to procure and may be subject to contamination or recall. A material shortage, contamination, recall or restriction in the manufacture of any product candidates could adversely impact or disrupt the production of clinical material, which could materially harm our development timelines and our business, financial condition, results of operations and prospects.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are dependent on third parties having accurately generated, collected, interpreted and reported data from certain preclinical studies that were previously conducted for our product candidates.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have relied on third parties, including WuXi Biologics and its affiliates, to conduct certain preclinical studies and clinical trials. We are dependent on these third parties having conducted their research and development in accordance with the applicable protocols, legal and regulatory requirements, and scientific standards; having accurately reported the results of all preclinical studies and clinical trials conducted with respect to such product candidates and having correctly collected and interpreted the data from these studies and trials. These risks also apply to any additional product candidates that we may acquire or in-license in the future. If these activities were not compliant, accurate or correct, the clinical development, regulatory approval or commercialization of our product candidates will be adversely affected.</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rely on third parties to conduct preclinical studies and clinical trials and for the manufacture, production, storage and distribution of our products and product candidates and certain commercialization activities for our products.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rely on, and expect that we will continue to rely on, third parties to assist in managing, monitoring and otherwise carrying out preclinical studies and clinical trials of our ADC Therapies and other product candidates that we may develop and other third parties for the manufacture, production, storage and distribution of our ADC Therapies and other product candidates that we may develop and certain commercialization activities for our product candidates, if approved, including government pricing, reporting and chargeback and rebate processing, pharmacovigilance and adverse event reporting. We have less control over the activities of third parties than we would otherwise have if we relied entirely upon our own staff and we are exposed to different risks, including all the risks associated with such third parties’ businesses and financial condition, than if we performed such functions ourselves. There can be no assurance that these third parties will perform services for us in accordance with our timelines, standards and expectations. If these third parties do not successfully carry out their duties under their agreements or otherwise fail to comply with regulatory requirements, we may experience delays in our research and development activities, be unable to obtain and maintain regulatory approval, be unable to commercialize our products and be required to issue product recalls. In addition, if any of our relationships with these third parties terminate, we may not be able to enter into alternative arrangements on a timely basis or on commercially reasonable terms, and even if successful in entering into alternative arrangements, we may experience significant delays during the transition. This risk may be heightened by our use of single-source supplier arrangements. Furthermore, if a third-party manufacturer cannot maintain a compliance status acceptable to the FDA, or if the EMA or a comparable regulatory authority in another jurisdiction does not approve these facilities for the manufacture of our products and product candidates or if it withdraws any such approval in the future, we may need to find alternative manufacturing facilities, which would be time-consuming, costly and uncertain and significantly impact our ability to develop, obtain regulatory approval for, source adequate supply of or market our products and product candidates.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rely on in-license agreements for patent rights with respect to our product candidates and may in the future acquire additional third-party intellectual property rights on which we may similarly rely. We face risks with respect to such reliance, including the risk that we could lose these rights that are important to our business if we fail to comply with our obligations under these licenses.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We rely on third-party license agreements pursuant to which we have non-exclusive and exclusive rights to technology that is incorporated into our development programs and product candidates. For example, under our License Agreement with WuXi Biologics, we have been granted worldwide development and commercialization rights to the ADC Therapies, which includes rights to use the linker-payloads that WuXi Biologics has licensed from Hangzhou DAC. These license agreements impose diligence, milestone payment, royalty payment and other obligations on us.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Termination of the License Agreement or reduction or elimination of our licensed rights may require us to negotiate new or reinstated licenses with less favorable terms or to cease all development and commercialization of our current product candidates. In addition, delay in appointing or finding a suitable replacement provider, if one exists, could make it difficult for us to operate our business for that period. If any such events were to occur, they could have a material adverse effect on our business prospects, financial condition and results of operations.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Moreover, the growth of our business may depend in part on our ability to acquire, in-license or use additional third-party intellectual property rights.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Licenses to additional third-party intellectual property, technology and materials that may be required for the development and commercialization of our product candidates or technology may not be available at all or on commercially reasonable terms. In that event, we may be required to expend significant time and resources to redesign our product candidates or to develop or license replacement technology, all of which may not be feasible on a technical or commercial basis. If we are unable to do so, we may be unable to develop or commercialize our future product candidates or technologies, which could materially harm our business, financial condition, results of operations and growth prospects.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current and any potential future licensors might conclude that we have materially breached our license agreements and might therefore terminate the relevant license agreements, thereby removing our ability to develop and commercialize products and technology covered by such license agreements. If any of our current or future in-bound license agreements are terminated, or if the underlying patents fail to provide the intended exclusivity, competitors would have the freedom to seek regulatory approval of, and to market, products that are covered by such license agreements and underlying patents, which might be identical to our products or product candidates. This could have a material adverse effect on our competitive position, business, financial conditions, results of operations and growth prospects. Our business also would suffer if any current or future licensors fail to abide by the terms of the license or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or otherwise violating the licensor’s rights.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Any licensor of ours may have relied on third-party consultants or collaborators or on funds from third parties, such as the United States government, such that such licensor is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rely, and expect to continue to rely, on third parties to conduct our preclinical studies and clinical trials and those third parties may not perform satisfactorily, including failing to meet deadlines for the completion of such trials, research and studies.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We do not have the ability to independently conduct all of our preclinical studies and clinical trials. We have relied and expect to continue to rely on third parties, such as CROs, clinical data management organizations, medical institutions and clinical investigators, to conduct, supervise and monitor our preclinical studies and clinical trials of our ADC Therapies and any other product candidates we may develop. We enter into agreements with third parties that have a significant role in the conduct of our preclinical studies and clinical trials and the subsequent collection and analysis of data. These third parties are not our employees, and except for remedies available to us under our agreements with such third parties, we have limited ability to control the conduct of such third party, the amount or timing of resources that any such third party will devote to our preclinical studies and clinical trials and the management of data developed through preclinical studies and clinical trials. Communicating with outside parties can also be challenging, potentially leading to mistakes as well as difficulties in coordinating activities. The third parties we rely on for these services may also (i) have staffing difficulties, (ii) fail to comply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with contractual obligations, (iii) experience regulatory compliance issues, (iv) undergo changes in priorities or become financially distressed, or (v) have relationships with other entities, some of which may be our competitors, which may draw time and resources from our development programs. The third parties with whom we may contract might not be diligent, careful or timely in conducting our preclinical studies or clinical trials, resulting in the preclinical studies and clinical trials being delayed or unsuccessful. Some of these third parties may terminate their engagements with us at any time. If we need to enter into alternative arrangements with a third party, this would delay our drug development activities.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reliance on these third parties for such drug development activities will reduce our control over these activities but will not relieve us of our regulatory responsibilities. For example, we will remain responsible for ensuring that each of our preclinical studies and clinical trials is conducted in accordance with the general investigational plan and protocols for the trial and legal, regulatory, and scientific requirements and standards. Moreover, the FDA requires us and our third parties to comply with applicable GLP and GCP standards, regulations for conducting, monitoring, recording and reporting the results of preclinical studies and clinical trials to assure that the data and reported results are reliable and accurate and for clinical trials that the rights, integrity and confidentiality of trial participants are protected and that they are adequately informed of the potential risks of participating in clinical trials.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preclinical studies and clinical trials may be deemed unreliable and the FDA, EMA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and clinical trials substantially comply with GCP regulations. In addition, our clinical trials must be conducted with product candidates produced under current cGMP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 We are also required to register certain clinical trials and post the results of certain completed clinical trials on a government-sponsored database, ClinicalTrials.gov, within certain timeframes. Failure to do so can result in fines, adverse publicity and civil and criminal sanctions.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If we cannot contract with acceptable third parties on commercially reasonable terms, or at all, or if these third parties do not successfully carry out their contractual duties or perform preclinical studies and clinical trials in a satisfactory manner, meet expected deadlines or conduct our preclinical studies and clinical trials in accordance with legal and regulatory requirements or our stated protocols, we will not be able to obtain, or may be delayed in obtaining, regulatory approvals for product candidates that we may develop and will not be able to, or may be delayed in our efforts to, successfully commercialize such product candidates, if approved.</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may form or seek strategic alliances or collaborations in the future. Such alliances and collaborations may inhibit future opportunities, or we may not realize the benefits of such collaborations or alliances.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may form or seek strategic alliances, joint ventures or collaborations or enter into licensing arrangements with third parties that we believe will complement or augment our development and commercialization efforts with respect to any product candidates that we may develop. We are at risk that any such future collaborations may not be successful. Factors that may affect the success of our collaborations include the following:</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collaboration partners may incur financial and cash flow difficulties that force them to limit or reduce their efforts under their collaboration agreement with us;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collaboration partners may be pursuing alternative technologies or developing alternative products that are competitive to our technology and products, either on their own or in partnership with others;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collaboration partners may terminate their collaboration with us, which could make it difficult for us to attract new partners or adversely affect perception of us in the business and financial communities; and</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collaboration partners may pursue higher priority programs or change the focus of their development programs, which could affect their commitment to us.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addition, any future collaboration agreements we may enter into, are generally subject to termination by the counterparty on short notice upon the occurrence of certain circumstances without cause subject to a specified notice period. Accordingly, even if we believe that the development of product candidates is worth pursuing, our partners may choose not to continue with such development. If any of our collaborations are terminated, we may not receive additional milestones or royalties under those collaborations. In addition, we may be required to devote additional resources to the development of our product candidates or seek a new collaboration partner on short notice, and the terms of any additional collaboration or other arrangements that we establish may not be favorable to us.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Future efforts for additional alliances or collaborations may also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Furthermore, we may not be able to realize the benefit of such transactions if we are unable to successfully integrate them with our existing operations and company culture. We cannot be certain that, following a strategic transaction or license, we will achieve the revenues or specific net income that justifies such transaction.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If we cannot maintain successful collaborations, our business, financial condition, and operating results may be adversely affected. </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increased operating expenses and cash requirements;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assumption of additional indebtedness or contingent liabilities;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issuance of our equity securities;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assimilation of operations, intellectual property, and products of an acquired company, including difficulties associated with integrating new personnel;</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diversion of our management’s attention from our existing programs and initiatives in pursuing such a strategic transaction;</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retention of key employees, the loss of key personnel and uncertainties in our ability to maintain key business relationships;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risks and uncertainties associated with the other party to such a transaction, including the prospects of that party and their existing products or product candidates and regulatory approvals; and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inability to generate revenue from acquired technology and/or products sufficient to meet our objectives in undertaking the acquisition or even to offset the associated acquisition and maintenance costs.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If we decide to establish collaborations but are not able to establish those collaborations on commercially reasonable terms, we may have to alter our development and commercialization plans.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drug development programs and the potential commercialization of any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If and when we seek to enter into collaborations, we may not be able to negotiate collaborations on a timely basis, on acceptable terms, or at all. If we are unable to do so, we may have to curtail the development of a product candidate,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the ADC Therapies or any future product candidates or bring them to market, if approved, and generate product revenue.</w:t>
      </w:r>
    </w:p>
    <w:p>
      <w:pPr>
        <w:pStyle w:val="TextBody"/>
        <w:bidi w:val="0"/>
        <w:spacing w:lineRule="auto" w:line="302" w:before="200" w:after="283"/>
        <w:jc w:val="both"/>
        <w:rPr>
          <w:rFonts w:ascii="Times New Roman" w:hAnsi="Times New Roman"/>
          <w:b/>
          <w:i/>
          <w:color w:val="000000"/>
          <w:sz w:val="20"/>
        </w:rPr>
      </w:pPr>
      <w:r>
        <w:rPr>
          <w:rFonts w:ascii="Times New Roman" w:hAnsi="Times New Roman"/>
          <w:b/>
          <w:i/>
          <w:color w:val="000000"/>
          <w:sz w:val="20"/>
        </w:rPr>
        <w:t>We may enter into collaborations with third parties for the development and commercialization for any product candidates. If those collaborations are not successful, we may not be able to capitalize on the market potential of these product candidates.</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If we enter into any collaboration arrangements with any third parties, we will likely have limited control over the amount and timing of resources that our collaborators dedicate to the development or commercialization of any product candidates. Our ability to generate revenues from these arrangements will depend on our collaborators’ abilities and efforts to successfully perform the functions assigned to them in these arrangements. Collaborations involving any product candidates would pose numerous risks to us, including the following:</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 and may not perform their obligations as expected;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business unit or development function, or available funding or external factors such as an acquisition that diverts resources or creates competing priorities;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us;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 collaborator with marketing and distribution rights to multiple products may not commit sufficient resources to the marketing and distribution of any product candidate that we may develop, if approved, relative to other products;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may grant exclusive rights to our collaborators that would prevent us from collaborating with others;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collaboration agreements may not lead to development or commercialization of any product candidates that we may develop in the most efficient manner or at all;</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any product candidates that we may develop;</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collaborators may own or co-own intellectual property covering our products that results from us collaborating with them, and in such cases, we would not have the exclusive right to develop or commercialize such intellectual property; and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For example, on June 27, 2022, EOC Pharma (Hong Kong) Limited ("EOC") elected to terminate our license agreement with EOC ("EOC License Agreement"), effective immediately, due to alleged material breaches by us. On June 27, 2022, EOC filed a Request for Arbitration with the International Chamber of Commerce’s International Court of Arbitration against us. As a result, we became party to a lengthy arbitration process and, although we were found not liable for any damages to EOC in the arbitration panel’s final award in September 2024, we nevertheless experienced management distraction and incurred significant legal fees to defend ourselves.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b/>
          <w:color w:val="000000"/>
          <w:sz w:val="20"/>
        </w:rPr>
      </w:pPr>
      <w:r>
        <w:rPr>
          <w:rFonts w:ascii="Times New Roman" w:hAnsi="Times New Roman"/>
          <w:b/>
          <w:color w:val="000000"/>
          <w:sz w:val="20"/>
        </w:rPr>
        <w:t>Risks Related to Employee Matters, Managing Our Growth and Other Risks Related to our Business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Our success is highly dependent on our ability to attract and retain highly skilled executive officers, key scientific personnel and employees.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 more of our executive officers or key scientific personnel could be detrimental to us if we cannot recruit suitable replacements in a timely manner. Any leadership transitions, as well as future other senior management changes, could disrupt and have a detrimental effect on our business. We may need to hire additional personnel in connection with future clinical development and commercial activities. We could in the future have difficulty attracting and retaining experienced personnel and may be required to expend significant financial resources in our employee recruitment and retention efforts.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Many of the other biotechnology companies that we compete against for qualified personnel have greater financial and other resources, different risk profiles and a longer history in the industry than us.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Additionally, 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these advisors or they provide services to our competitors, our development and commercialization efforts will be impaired and our business will be significantly harmed.</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If we are unable to successfully establish and maintain sales or marketing capabilities or enter into agreements with third parties to sell or market product candidates that we may develop, when approved, we may not be able to successfully sell or market our product candidates that obtain regulatory approval.</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order to commercialize any product candidate that we may develop, when approved, we must build and maintain marketing, sales, distribution, managerial and other non-technical capabilities or make arrangements with third parties to perform these services for each of the territories in which we may have approval to sell or market our product(s). There are risks involved with establishing and maintaining both our own commercial capabilities and entering into arrangements with third parties to perform these services and we may not be successful in accomplishing these required tasks, which may negatively impact the successful commercialization of our product(s).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Establishing and maintaining an internal sales or marketing team with technical expertise and supporting distribution capabilities to commercialize our product candidates that we obtain approval to market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or if we do not have arrangements in place with third parties to provide such services on our behalf. If the commercial launch of a product candidate for which we recruit a sales team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Alternatively, if we choose to collaborate, either globally or on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its own. If we are unable to enter into such arrangements when needed, on acceptable terms, or at all, we may not be able to successfully commercialize any of our product candidates that receive regulatory approval, or any such commercialization may experience delays or limitations. We may have little control over such third parties, and any of them may fail to devote the necessary resources and attention to sell and market our products effectively. If we are unable to successfully commercialize our approved product candidates, either on our own or through collaborations with one or more third parties, our future product sales will suffer, and we may incur significant additional losses.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In order to successfully implement our plans and strategies, from time to time we may need to grow the size of our organization, and we may experience difficulties in managing this growth.</w:t>
      </w:r>
    </w:p>
    <w:p>
      <w:pPr>
        <w:pStyle w:val="TextBody"/>
        <w:bidi w:val="0"/>
        <w:spacing w:lineRule="auto" w:line="331" w:before="200" w:after="283"/>
        <w:jc w:val="both"/>
        <w:rPr>
          <w:rFonts w:ascii="Times New Roman" w:hAnsi="Times New Roman"/>
          <w:sz w:val="20"/>
        </w:rPr>
      </w:pPr>
      <w:r>
        <w:rPr>
          <w:rFonts w:ascii="Times New Roman" w:hAnsi="Times New Roman"/>
          <w:color w:val="000000"/>
          <w:sz w:val="20"/>
        </w:rPr>
        <w:t>As of August 3, 2026, we have 32 full-time or part-time employees.</w:t>
      </w:r>
      <w:r>
        <w:rPr>
          <w:rFonts w:ascii="Times New Roman" w:hAnsi="Times New Roman"/>
          <w:color w:val="231F20"/>
          <w:sz w:val="20"/>
        </w:rPr>
        <w:t xml:space="preserve"> In order to successfully implement our plans and strategies, from time to time we may need additional managerial, operational, development, financial and other personnel. </w:t>
      </w:r>
      <w:r>
        <w:rPr>
          <w:rFonts w:ascii="Times New Roman" w:hAnsi="Times New Roman"/>
          <w:color w:val="000000"/>
          <w:sz w:val="20"/>
        </w:rPr>
        <w:t>In order to successfully implement our plans and strategies, from time to time we may need additional managerial, operational, development, sales, marketing, financial and other personnel. Future growth would impose significant added responsibilities on members of management, including:</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identifying, recruiting, integrating, maintaining and motivating additional employees;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managing our internal development efforts effectively, including the clinical, FDA, EMA and other comparable foreign regulatory agencies’ review process for any product candidates we may develop, while complying with any contractual obligations to contractors and other third parties that we may have; and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future financial performance and our ability to successfully develop and commercialize any product candidates we may develop, if approved, will depend, in part, on our ability to effectively manage any future growth, and our management may also have to divert a disproportionate amount of our attention away from day-to-day activities in order to devote a substantial amount of time to managing these growth activities.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regulatory approval of any product candidates that we may develop or otherwise advance our business. We cannot assure you that we will be able to manage our existing third-party service providers or find other competent outside contractors and consultants on economically reasonable terms, or at all.</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If we are not able to effectively expand our organization by hiring new employees and/or engaging additional third-party service providers, we may not be able to successfully implement the tasks necessary to develop product candidates that we may develop and, accordingly, may not achieve our research, development and commercialization goals.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Our internal computer systems, or those of any of our CROs, manufacturers, other contractors or consultants or potential future collaborators, may fail or suffer security or data privacy breaches or other unauthorized or improper access to, or use or other processing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Despite the implementation of security measures in an effort to protect systems that store our information, given their size and complexity and the increasing amounts of information maintained on and processed by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systems and information), which may compromise our system infrastructure or lead to the loss, destruction, alteration or dissemination of, or damage to, our data. As the cyber-threat landscape evolves, these attacks are growing in frequency, sophistication and intensity, and are becoming increasingly difficult to detect. These risks may be heightened due to the increasing number of our and our vendors’ and contractors’ personnel working remotely. Further geopolitical events such as wars and conflicts may increase the cybersecurity threats we and the third parties we work with face. Any disruption or security breach or incident resulting in a loss, destruction, unavailability, or unauthorized alteration, dissemination, or other processing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have prevented or will prevent significant breakdowns or breaches in systems or other cyber incidents that cause loss, destruction, unavailability, or unauthorized alteration, dissemination, or other processing of, or damage to, our data that could have a material adverse effect upon our reputation, business, operations or financial condition. For example, any such event that were to occur and cause interruptions in our operations could result in a material disruption of our programs and the development of our product candidates could be delayed. In addition, the loss, unauthorized alteration, or unavailability of clinical trial data for our product candidates could result in delays in our regulatory approval efforts and significantly increase our costs to recover or reproduce the data. Furthermore, interruptions or other disruptions of our internal information technology systems or security breaches or incidents could result in the loss, misappropriation, and/or unauthorized access, use, disclosure, or other processing of, or the prevention of access to, data (including trade secrets or other confidential information, intellectual property, proprietary business information, and personal information or individually identifiable health information), which could result in financial, legal, business, and reputational harm to us. For example, any such event that leads or is perceived to lead to unauthorized access, use, disclosure, or other processing of individually identifiable health information or personal information, including such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such information, which could result in significant legal and financial exposure and reputational damages that could potentially have an adverse effect on our business.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Some federal, state and foreign governmental requirements include obligations of companies to notify individuals of security breaches involving particular information, which could result from breaches experienced by us or by our vendors, contractors or organizations with which we have relationships. Notifications and follow-up actions related to a security incident could impact our reputation and cause us to incur significant costs, including legal expenses and remediation costs. We expect to incur significant costs in an effort to detect and prevent security incidents, and we may face increased costs and requirements to expend substantial resources in the event of an actual or perceived security breach or incident. We also rely on third parties to manufacture our product candidates, and similar events relating to their computer systems could also have a material adverse effect on our business. Any disruption or security incident resulting or perceived to result, in any loss, destruction, or unauthorized alteration or other processing of, or damage to, our data (including personal information and other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information relating to individuals, and our confidential or proprietary information or that of third parties), we could be exposed to claims, demands, litigation and governmental investigations and other proceedings, the further development and commercialization of our product candidates could be delayed, and we could be subject to significant fines, penalties, and other liabilities.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insurance policies may not be adequate to compensate us for the potential losses arising from any such disruption, failure or security breach of, or security incident of, or impacting,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Our ability to utilize our net operating loss (“NOL”) carryforwards and certain other tax attributes to offset future taxable income may be limited.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Our NOL carryforwards may be unavailable to offset future taxable income because of restrictions under United States tax law. Our federal NOLs generated in tax years beginning before January 1, 2018 are only permitted to be carried forward for 20 taxable years under applicable United States federal tax law, and therefore could expire unused. Our federal NOLs generated in tax years beginning after December 31, 2017 may be carried forward indefinitely, but the deductibility of such NOLs is generally limited to 80% of our current year taxable income. </w:t>
      </w:r>
    </w:p>
    <w:p>
      <w:pPr>
        <w:pStyle w:val="TextBody"/>
        <w:bidi w:val="0"/>
        <w:spacing w:lineRule="auto" w:line="331" w:before="200" w:after="283"/>
        <w:jc w:val="both"/>
        <w:rPr>
          <w:rFonts w:ascii="Times New Roman" w:hAnsi="Times New Roman"/>
          <w:color w:val="231F20"/>
          <w:sz w:val="20"/>
        </w:rPr>
      </w:pPr>
      <w:r>
        <w:rPr>
          <w:rFonts w:ascii="Times New Roman" w:hAnsi="Times New Roman"/>
          <w:color w:val="231F20"/>
          <w:sz w:val="20"/>
        </w:rPr>
        <w:t>As of December 31, 2025, after consideration of the NOLs that have been estimated to expire unused under Section 382 of the Internal Revenue Code of 1986, as amended (the “Code”), we had federal NOL carryforwards of approximately $118.9 million, $40.6 million of which will begin to expire in 2030, and the remaining $78.3 million do not expire. We also have state NOL carryforwards of approximately $22.2 million available as of December 31, 2025, of which $21.3 million will begin to expire in 2037.</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Following the FYARRO Divestiture, the portion of our NOLs and other tax attributes that were allocable to Aadi Subsidiary generally remain with Aadi Subsidiary and no longer constitute our tax attributes.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Under Sections 382 and 383 of the Code, if a corporation undergoes an “ownership change” (generally defined as a cumulative change in the corporation’s ownership by “5-percent stockholders” that exceeds 50 percentage points over a rolling three-year period), the corporation’s ability to use its pre-change NOLs and certain other pre-change tax attributes to offset its post-change taxable income or taxes may be limited. Similar rules may apply under state tax laws. We have experienced such ownership changes in the past and we may experience ownership changes in the future as a result of subsequent changes in our stock ownership, some of which may be outside our control. To the extent such limitations will cause NOL and research and development credit carryforwards to expire unused, these tax attributes have been removed from our deferred tax assets.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Moreover, due to suspensions on the use of NOLs or other regulatory changes by certain jurisdictions, our NOLs could expire or otherwise be unavailable to offset future income tax liabilities. For example, in June 2024, California enacted legislation that limits the use of state NOLs for tax years beginning on or after January 1, 2024 and before January 1, 2027.</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Changes in tax laws could materially adversely affect our financial condition.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Legislation or other changes in United States and international tax laws could increase our tax liability and adversely affect after-tax profitability. For example, in August 2022, the United States enacted the Inflation Reduction Act, which implemented a number of changes, including a 1% excise tax on stock buybacks and an alternative minimum tax on adjusted financial statement income. Further, legislation commonly known as the “One Big Beautiful Bill Act” enacted in July 2025 eliminates capitalization of domestic research and experimental expenditures for taxable years beginning January 1, 2025, but retains the requirement to amortize foreign research and experimental expenditure over 15 years. Such enacted and other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proposed changes, as well as regulations and legal decisions interpreting and applying these changes, may have significant impacts on our effective tax rate, cash tax expenses and net deferred tax assets in future periods.</w:t>
      </w:r>
    </w:p>
    <w:p>
      <w:pPr>
        <w:pStyle w:val="TextBody"/>
        <w:bidi w:val="0"/>
        <w:spacing w:lineRule="auto" w:line="331" w:before="20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Our success depends on our ability to protect and strengthen our intellectual property and our proprietary technologies, including our ability to obtain patent term extension for our product or any future product candidates.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commercial success depends in part on our ability to obtain and maintain patent protection and trade secret protection in the United States and other countries for our product and product candidates, proprietary technologies and their uses, and know-how related to our business, as well as our ability to operate without infringing upon the valid and enforceable patents and proprietary rights of others. We generally seek to protect our proprietary position by filing patent applications in the United States and abroad related to our product and product candidates, proprietary technologies and their uses that are important to our business. We also seek to protect our proprietary position by acquiring or in-licensing relevant issued patents or pending applications from third parties. We also rely on trade secrets to protect aspects of our business that are not amenable to, or that we do not consider appropriate for, patent protection.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in any particular jurisdiction or that issued patents will afford sufficient protection against competitors with similar technology, nor can there be any assurance that the patents issued will not be infringed, designed around or invalidated by third parties.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Even issued patents may later be found invalid or unenforceable or may be modified or revoked in proceedings instituted by third parties before various patent offices or in courts. The degree of future protection for us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ADC Therapies or any future products or product candidates could have a material adverse effect on our financial condition and results of operations.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cannot be certain that the claims in our licensed United States pending patent applications, corresponding international patent applications and patent applications in certain foreign territories, will be considered patentable by the United States Patent and Trademark Office (the “USPTO”), courts in the United States or by the patent offices and courts in foreign countries, nor can we be certain that the claims in our issued patent will not be found invalid or unenforceable if challenged.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current or potential future collaborators will be successful in protecting our product candidates by obtaining and defending patents. These risks and uncertainties include the following:</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patent applications may not result in any patents being issued;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if clinical trials encounter delays, the period of time during which we could market our current or future product candidates under patent protection would be reduced;</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patents may be challenged, invalidated, modified, narrowed, revoked, circumvented, found to be unenforceable, found to be not infringed or otherwise may not provide any competitive advantage;</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competitors, many of whom have substantially greater resources than we do and many of whom have made significant investments in competing technologies, may seek or may have already obtained patents that could limit, interfere with or eliminate our ability to make, use and sell our product or potential product candidates or design around any of our owned, co-owned, or licensed patents;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since patent applications in the United States and most other countries are confidential for a period of time after filing, we cannot be certain that we were the first to either (i) file any patent application related to our product; or (ii) invent any of the inventions claimed in our patents or patent applications;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even when laws provide protection, costly and time-consuming litigation could be necessary to enforce and determine the scope of our proprietary rights, and the outcome of such litigation would be uncertain. Moreover, any actions we may bring to enforce our intellectual property against our competitors could provoke them to bring counterclaims against us;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countries other than the United States may have patent laws less favorable to patentees than those upheld by United States courts, allowing foreign competitors a better opportunity to create, develop and market competing products or product candidates.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patent prosecution process is also expensive, complex, and time-consuming, and we and our licensors may not be able to file and prosecute all necessary or desirable patent applications at a reasonable cost or in a timely manner or in all jurisdictions where protection may be commercially advantageous. It is also possible that we and our licensors will fail to identify patentable aspects of our (or such licensor’s) research and development output before it is too late to obtain patent protection. If we are unable to obtain or maintain patent protection with respect to any of our proprietary products and technology we develop, our business, financial condition, results of operations, and prospects could be materially harmed.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 products.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If the scope of any patent protection we obtain is not sufficiently broad, or if we lose any of our patent protection, our ability to prevent our competitors from commercializing similar or identical products would be adversely affected.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No consistent policy regarding the breadth of claims allowed in biotechnology and pharmaceutical patents has emerged to date in the United States or in many foreign jurisdictions. Changes in either the patent laws or interpretation of the patent laws in the United States and other countries may diminish the value of our patents or narrow the scope of our patent protection. The laws of some foreign countries do not protect our proprietary rights to the same extent as the laws of the United States, and we may encounter significant problems in protecting our proprietary rights in these countries. Our pending and future patent applications and those of our licensors may not result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patents being issued that protect our ADC Therapies or future products or product candidates or effectively prevent others from commercializing competitive products.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Moreover, the coverage claimed in a patent application can be significantly reduced before the patent is issued, and our scope can be reinterpreted after issuance. Even if patent applications we own or in-licenses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in-licenses may be challenged or circumvented by third parties or may be narrowed or invalidated as a result of challenges by third parties. Consequently, we do not know whether our ADC Therapies or any future products or product candidates will be protectable or remain protected by valid and enforceable patents.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pStyle w:val="TextBody"/>
        <w:bidi w:val="0"/>
        <w:spacing w:lineRule="auto" w:line="331" w:before="200" w:after="283"/>
        <w:jc w:val="both"/>
        <w:rPr>
          <w:rFonts w:ascii="Times New Roman" w:hAnsi="Times New Roman"/>
          <w:sz w:val="20"/>
        </w:rPr>
      </w:pPr>
      <w:r>
        <w:rPr>
          <w:rFonts w:ascii="Times New Roman" w:hAnsi="Times New Roman"/>
          <w:color w:val="000000"/>
          <w:sz w:val="20"/>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Times New Roman" w:hAnsi="Times New Roman"/>
          <w:i/>
          <w:color w:val="000000"/>
          <w:sz w:val="20"/>
        </w:rPr>
        <w:t>inter partes</w:t>
      </w:r>
      <w:r>
        <w:rPr>
          <w:rFonts w:ascii="Times New Roman" w:hAnsi="Times New Roman"/>
          <w:color w:val="000000"/>
          <w:sz w:val="20"/>
        </w:rPr>
        <w:t xml:space="preserve"> review (“IPR”), or other similar proceedings challenging our owned patent rights. An adverse determination in any such submission, proceeding or litigation could reduce the scope of, or invalidate or render unenforceable, our patent rights or put our patent applications at risk of not issuing, allow third parties to commercialize our products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which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products or product candidates. If any of our patents, if and when issued, covering our product candidates are invalidated or found unenforceable, our financial position and results of operations would be materially and adversely impacted. We may not prevail in any lawsuits that we or any third-party initiate and the damages or other remedies awarded if we were to prevail may not be commercially meaningful.</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competitive advantage.</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others may be able to develop products that are similar to any product candidates but that are not covered by the claims of the patents that we own or license;</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or our licensors or collaborators might not have been the first to make the inventions covered by the issued patents or patent application that we own or license;</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or our licensors or collaborators might not have been the first to file patent applications covering certain of our inventions;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it is possible that the pending patent applications we own or license will not lead to issued patents;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issued patents that we own or license may be held invalid or unenforceable, as a result of legal challenges by our competitors;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may not develop additional proprietary technologies that are patentable;</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patents of others may have an adverse effect on our business; and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may choose not to file a patent in order to maintain certain trade secrets or know-how, and a third party may subsequently file a patent covering such intellectual property.</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Should any of these events occur, it could significantly harm our business, financial condition, results of operations and prospects.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Our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success depends in part on avoiding infringement or misappropriation of the patents, intellectual property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products or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United States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As the biopharmaceutical industry expands and more patents are issued, the risk increases that our ADC Therapies, if approved, or any future products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our ADC Therapies or any future products, and we cannot be certain that we were the first to file a patent application related to a product or technology. Moreover, because patent applications can take many years to issue, and because patent claims can be revised before issuance, there may be currently pending patent applications that may later result in issued patents that our ADC Therapies may infringe or which such third parties claim are infringed by our technologies.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If a patent holder believes one or more of our products or product candidates infringes such holder’s patent rights, the patent holder may sue us even if we have received patent protection. Moreover, we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may face patent infringement claims from non-practicing entities that have no relevant drug revenue and against whom our own patent portfolio may thus have no deterrent effect. Any claims of patent infringement asserted by third parties would be time consuming and could: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result in costly litigation that may cause negative publicity;</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divert the time and attention of our technical personnel and management;</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cause development delays;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prevent us from commercializing any of our product candidates until the asserted patent expires or is held finally invalid or not infringed in a court of law;</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require us to develop non-infringing technology, which may not be possible on a cost-effective basis;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subject us to significant liability to third parties; or</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Although no third party has asserted a claim of patent infringement against us as of the date of this Quarterly Report, others may hold proprietary rights that could prevent our product candidates that we may develop from being marketed. For example, various patent offices periodically grant mode of action patents and a third party may have or obtain a patent with claims covering modes of action relevant to our product candidates. While these mode of action patents may be difficult to enforce, the third party may assert a claim of patent infringement directed at any product candidates we may develop. Any patent-related legal action or any claim relating to intellectual property infringement that is successfully asserted against us claiming damages and seeking to enjoin commercial activities relating to our products or processes could subject us to significant liability for damages, including treble damages and attorney’s fees if it was determined that we willfully infringed, and require us to obtain a license to manufacture or market our products.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or future strategic partners were able to obtain a license, the rights may be nonexclusive, which could result in our competitors gaining access to the same intellectual property. In addition, we cannot be certain that we could redesign our products or processes to avoid infringement, if necessary. Accordingly, an adverse determination in a judicial or administrative proceeding, or the failure to obtain necessary licenses, could prevent or delay us from developing and commercializing our product candidates, which could harm our business, financial condition and operating results. In addition, intellectual property litigation, regardless of our outcome, may cause negative publicity and could prohibit us from marketing or otherwise commercializing our product candidates and technology.</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may not be successful in obtaining or maintaining necessary rights to our ADC Therapies or any future products or product candidates that we may develop through acquisitions and in-licenses.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ADC Therapies or any future products or product candidates. The licensing and acquisition of third-party intellectual property rights is a competitive area, and a number of more established companies may pursue strategies to license or acquire third-party intellectual property rights that we may consider attractive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may also be unable to license or acquire third-party intellectual property rights on terms that would be favorable to us or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may be involved in lawsuits or other proceedings to protect or enforce our patents or intellectual property or our licensors’ patents or intellectual property, which could be expensive, time consuming and unsuccessful. Further, our issued patents or our licensors’ patents could be found invalid or unenforceable if challenged in court.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Competitors and other third parties may infringe, misappropriate, or otherwise violate our patents and other intellectual property rights. To prevent infringement or unauthorized use, we may be required to file infringement claims, which can be expensive and time-consuming and divert the attention of our management and key personnel from our business operations.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products or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of the patent application.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our licensors’ patents in such a way that such patents no longer cover our technology or platform, product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product or any product candidates that we may develop. Such a loss of patent protection would have a material adverse impact on our business, financial condition, results of operations and prospects.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The outcome following legal assertions of invalidity and/or unenforceability is unpredictable, and prior art could render our patents or our licensors’ patents invalid. There is no assurance that all potentially relevant prior art relating to our patents and patent applications, or the patents and patent applications of our licensors has been found.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If a defendant were to prevail on a legal assertion of invalidity and/or unenforceability, we may lose at least part, and perhaps all, of the patent protection on such product. In addition, if the breadth or strength of protection provided by our patents and patent applications or the patents and patent applications of our licensors is threatened, it could dissuade companies from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collaborating with us to license, develop or commercialize current or future products or product candidates. Such a loss of patent protection would have a material adverse impact on our business.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addition, the issuance of a patent does not give us the right to practice the patented invention. Third parties may have blocking patents that could prevent us from marketing our own patented product and practicing our own patented technology.</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Intellectual property litigation may lead to unfavorable publicity that harms our reputation and causes the market price of our common shares to decline.</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ADC Therapies or any future products or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Derivation proceedings may be necessary to determine priority of inventions, and an unfavorable outcome may require us to cease using the related technology or to attempt to license rights from the prevailing party.</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any future products to market. </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Patent reform legislation could increase the uncertainties and costs surrounding the prosecution of our patent applications or those of our licensors and the enforcement or defense of our issued patents or those of our licensors.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On September 16, 2011, the Leahy-Smith America Invents Act (the “Leahy-Smith Act”), was signed into law. The Leahy-Smith Act includes a number of significant changes to United States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file any patent application related to our ADC Therapies or any future products or product candidates or invent any of the inventions claimed in the patents or patent applications.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Changes in United States patent law, or laws in other countries, could diminish the value of patents in general, thereby impairing our ability to protect any future products.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As is the case with other pharmaceutical companies, our success is heavily dependent on intellectual property, particularly patents. Obtaining and enforcing patents in the pharmaceutical industry involve a high degree of 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For example,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United States Congress, the United States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We may also be subject to claims that our former employees or our licensors or other third parties have an ownership interest in our patents or other intellectual property. Confidentiality and intellectual property assignment agreements may not be honored and may not effectively assign intellectual property rights to us. The assignment of intellectual property rights under these agreements may not be automatic upon the creation of the intellectual property or the assignment agreements may be breached, and we may be forced to bring claims against third parties, or defend claims that they may bring against it, to determine the ownership of what we regard as our intellectual property. Litigation may be necessary to defend against these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Patent terms may be inadequate to protect our competitive position on our ADC Therapies or any future products or product candidates for an adequate amount of time.</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United States non-provisional effective filing date. Various extensions may be available, but the life of a patent, and the protection it affords, is limited. Even if patents covering our ADC Therapies or any future products or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us.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If we do not obtain patent term extension for our ADC Therapies or any future product candidates, our business may be materially harmed.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Depending upon the timing, duration and specifics of FDA regulatory approval of our product candidates that we may develop, one or more of our United States patents or those of our licensors may also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Filing, prosecuting and defending patents on our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In addition, the statutory deadlines for pursuing patent protection in individual foreign jurisdictions are based on the priority date of each of our patent applications and we may not timely file foreign patent applications.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Further, the complexity and uncertainty of European patent laws have increased in recent years.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(the “UPC”). As the UPC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these changes.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Competitors may use our technologies in jurisdictions where we do not pursue or have not obtained patent protection to develop their own products and, further, may export otherwise infringing products to territories where we have patent protection, but enforcement is not as strong as that in the United States. These products may compete with any of our future products, and our patents, the patents of our licensors,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certain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third parties, including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our owned and in-licensed patents and/or applications will be due to be paid to the USPTO and various foreign patent offices at various points over the lifetime of our patents and/or applications and those of our licensors and any patent rights we may own or license in the future. We have systems in place to remind us to pay these fees, and, in certain instances, we rely on our licensor partners to pay these fees when due. Additionally, the USPTO and various foreign patent offices require compliance with a number of procedural, documentary, fee payment and other similar provisions during the patent application process and over the lifetime of our owned patents and applications.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competitors or other third parties might be able to enter the market earlier than would otherwise have been the case and it could have a material adverse effect on our business, financial condition, results of operations and prospects.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also rely on trade secrets to protect aspects of our business that are not amenable to, or that we do not consider appropriate for, patent protection. In addition, we rely on the protection of our trade secrets, including unpatented know-how, technology and other proprietary information to maintain our competitive position. However, trade secrets are difficult to protect. For example, we may be required to share our trade secrets with third-party licensees, collaborators, consultants, contractors, or other advisors and we have limited control over the protection of trade secrets used by such third parties. Although we have taken steps to protect our trade secrets and unpatented know-how, including by entering into confidentiality agreements with third parties and confidential information and inventions agreements with employees, consultants and advisors, we cannot provide any assurances that all such agreements have been duly executed or that they have been obtained in all circumstances, and it is possible that any of these parties may breach the agreements and may unintentionally or willfully disclose our proprietary information, including our trade secrets, and we may not be able to obtain adequate remedies for such breaches. 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Enforcing a claim that a party illegally obtained, disclosed, used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Moreover, third parties may still obtain this information or may come upon this or similar information independently, and we would have no right to prevent them from using that technology or information to compete with us. Furthermore, because of the substantial amount of discovery required in connection with intellectual property litigation or other proceedings, there is a risk that some of our confidential information could be compromised by disclosure during this type of litigation or proceedings. If any of these events occurs or if we otherwise lose protection for our trade secrets or confidential or proprietary information, the value of this information may be greatly reduced, and our competitive position in the marketplace, business, financial condition, results of operations and prospects may be materially adversely affected.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may be subject to claims that we or our employees, consultants or advisors have wrongfully used or disclosed alleged confidential information or trade secrets.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have entered into and will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consultants or advisors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ADC Therapies, if approved, or any future products or product candidates, if approved, and technology. Failure to defend against any such claim could subject us to significant liability for monetary damages or prevent or delay our developmental and commercialization efforts, which could adversely affect our business.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may be subject to claims that we have wrongfully hired an employee from a competitor or that we or our employees have wrongfully used or disclosed alleged confidential information or trade secrets of their former employers.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As is common in the pharmaceutical industry, in addition to our employees, we engage the services of consultants to assist us in the development of our product or any future product candidates. Many of these consultants, and many of our employees, were previously employed at, or may have previously provided or may be currently providing consulting services to, other pharmaceutical companies including competitors or our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Our rights to develop and commercialize our technology and product candidates that we may develop may be subject, in part, to the terms and conditions of licenses granted to us by others.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have entered into license agreements with third parties and we may enter into additional license agreements in the future with others to advance our research or allow commercialization of our ADC Therapies or any future products or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had licensed may be reduced or eliminated, and our rights to develop and commercialize any of our products that are subject of such licensed rights could be adversely affected.</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product candidates, or the methods for manufacturing them or to develop or license replacement technology, all of which may not be feasible on a technical or commercial basis. If we are unable to do so, we may be unable to develop or commercialize the affected product or product candidate, which could harm our business, financial condition, results of operations, and prospects significantly. We cannot provide any assurances that third-party patents do not exist which might be enforced against our current technology, manufacturing methods, product or future methods or product candidates resulting in either an injunction prohibiting our manufacture, sales or future sales, or, with respect to our future sales, an obligation on our part to pay royalties and/or other forms of compensation to third parties, which could be significant.</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Disputes may arise between us and our licensors regarding intellectual property subject to a license agreement, including:</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right to sublicense patents and other rights to third parties;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 our right to transfer or assign the license;</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us and our licensors and partners; and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 which could have a material adverse effect on our business, financial conditions, results of operations, and prospects.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The patent protection and patent prosecution for our product candidates that we may develop in the future may be dependent on third parties.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While we normally seek to obtain the right to control prosecution, maintenance and enforcement of the patents relating to our ADC Therapies or any future products or product candidates, there may be times when the filing and prosecution activities for patents are controlled by our licensors or collaboration partners, including those licensed to us under our license agreements. If any of our licensors or collaboration partners fail to prosecute, maintain and enforce such patents and patent applications in a manner consistent with the best interests of our business, including by payment of all applicable fees for patents covering our ADC Therapies or any future products or product candidates, we could lose our rights to the intellectual property or our exclusivity with respect to those rights, our ability to develop and commercialize our product or those product candidates may be adversely affected and we may not be able to prevent competitors from making, using and selling competing products. We collaborate with other companies and institutions with respect to research and development matters. Also, we rely on numerous third parties to provide us with materials that we use to develop our technology. If we cannot successfully negotiate sufficient ownership, licensing, and/or commercial rights to any invention that result from our use of any third-party collaborator’s materials, or if disputes arise with respect to the intellectual property developed with the use of a collaborator’s materials, or data developed in a collaborator’s study, our ability to capitalize on the market potential of these inventions or developments may be limited or precluded altogether.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 </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Intellectual property discovered through government funded programs may be subject to federal regulations such as “march-in” rights, certain reporting requirements and a preference for United States-based companies. Compliance with such regulations may limit our exclusive rights and limit our ability to contract with non-United States manufacturers.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licensed patent applications may have been or may be in the future supported through the use of United States government funding awarded by the National Institute of Health or the FDA Office of Orphan Products Development and the Army Medical Research and Development Command. Although we do not currently own issued patents or pending patent applications that have been generated through the use of United States government funding, we have licensed, or may acquire or license in the future, intellectual property rights that have been generated through the use of United States government funding or grant. Pursuant to the Bayh-Dole Act of 1980, the United States government has certain rights in inventions developed with government funding. These United States government rights include a non-exclusive, non-transferable, irrevocable worldwide license to use inventions for any governmental purpose. In addition, the United States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(“march-in rights”). The United States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any of these inventions or produced through the use of any of these inventions be manufactured substantially in the United States. This preference for United States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industry may limit our ability to contract with non-United States product manufacturers for products covered by such intellectual property.</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b/>
          <w:color w:val="000000"/>
          <w:sz w:val="20"/>
        </w:rPr>
      </w:pPr>
      <w:r>
        <w:rPr>
          <w:rFonts w:ascii="Times New Roman" w:hAnsi="Times New Roman"/>
          <w:b/>
          <w:color w:val="000000"/>
          <w:sz w:val="20"/>
        </w:rPr>
        <w:t>General Risks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Our business is subject to the risks associated with doing business in China.</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As a result of our reliance on WuXi Biologics and Hangzhou DAC, both located in China, our results of operations, financial condition, and prospects are subject to a significant degree to economic, political, and legal developments in China including government control over capital investments or changes in tax regulations that are applicable to us. China’s economy differs from the economies of most developed countries in many respects, including with respect to the amount of government involvement, level of development, growth rate and control of foreign exchange, and allocation of resources. Since we rely on an entity located in China, our business is subject to the risks associated with doing business in China, including:</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adverse political and economic conditions, particularly those potentially negatively affecting the trade relationship between the United States and China;</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trade protection measures, such as tariff increases, and import and export licensing and control requirements;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potentially negative consequences from changes in tax laws;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difficulties associated with the Chinese legal system, including increased costs and uncertainties associated with enforcing contractual obligations in China;</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historically lower protection of intellectual property rights;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requirements relating to China’s data security rules and regulations;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requirements relating to China personal information protection laws;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changes and volatility in currency exchange rates;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unexpected or unfavorable changes in regulatory requirements; and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difficulties in managing foreign relationships and operations generally.</w:t>
      </w:r>
    </w:p>
    <w:p>
      <w:pPr>
        <w:pStyle w:val="TextBody"/>
        <w:bidi w:val="0"/>
        <w:spacing w:lineRule="auto" w:line="331" w:before="120" w:after="283"/>
        <w:jc w:val="both"/>
        <w:rPr>
          <w:rFonts w:ascii="Times New Roman" w:hAnsi="Times New Roman"/>
          <w:color w:val="000000"/>
          <w:sz w:val="20"/>
        </w:rPr>
      </w:pPr>
      <w:r>
        <w:rPr>
          <w:rFonts w:ascii="Times New Roman" w:hAnsi="Times New Roman"/>
          <w:color w:val="000000"/>
          <w:sz w:val="20"/>
        </w:rPr>
        <w:t>For example, the BIOSECURE Act was signed into law as a part of the 2026 National Defense Authorization Act, which includes Section 851 regarding a “[p]rohibition on contracting with certain biotechnology providers." This law restricts federal government contracts, grants, and loans from being issued to companies that use biotechnology equipment or services produced or provided by select Chinese biotechnology companies (each, a “biotechnology company of concern”), as part of such companies’ performance of those agreements with the U.S. government. This legislation, including its implementing regulations, or similar legislation in the future, could adversely impact our current or future third-party arrangements with certain companies, including those in China or Chinese-owned U.S. companies, which could delay or impact our clinical trials and consequently delay or obstruct successful commercialization of our product candidates. Foreign CMOs may be a target of U.S. legislation, including the BIOSECURE Act, and trade restrictions and other foreign regulatory requirements could increase the cost or reduce the supply of material available to us, delay the procurement or supply of such material, restrict or even prohibit our ability to work with such CMOs, or have an adverse effect on our ability to secure significant commitments from governments to purchase potential therapies. Once the implementing regulations of Section 851 come into effect, which will be no later than the third quarter of 2028, some of our business partners like WuXi Biologics may be designated as biotechnology companies of concern through the criteria and process established by the implementing regulations. Even if we do not seek any covered federal government contracts, grants, or loans, it is possible that commercial partners, government agencies, or other third parties may view our business less favorable if we contract with entities that ultimately become biotechnology companies of concern.</w:t>
      </w:r>
    </w:p>
    <w:p>
      <w:pPr>
        <w:pStyle w:val="TextBody"/>
        <w:bidi w:val="0"/>
        <w:spacing w:lineRule="auto" w:line="331" w:before="120" w:after="283"/>
        <w:jc w:val="both"/>
        <w:rPr>
          <w:rFonts w:ascii="Times New Roman" w:hAnsi="Times New Roman"/>
          <w:color w:val="000000"/>
          <w:sz w:val="20"/>
        </w:rPr>
      </w:pPr>
      <w:r>
        <w:rPr>
          <w:rFonts w:ascii="Times New Roman" w:hAnsi="Times New Roman"/>
          <w:color w:val="000000"/>
          <w:sz w:val="20"/>
        </w:rPr>
        <w:t xml:space="preserve">In addition, other U.S. national security laws and regulations could also affect the transfer of certain types of data abroad, including to China. For example, the Department of Justice issued a final rule which took effect in April 2025 that places limitations, and in some cases prohibitions, on certain transfers of sensitive personal data to business partners located in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120" w:after="283"/>
        <w:jc w:val="both"/>
        <w:rPr>
          <w:rFonts w:ascii="Times New Roman" w:hAnsi="Times New Roman"/>
          <w:color w:val="000000"/>
          <w:sz w:val="20"/>
        </w:rPr>
      </w:pPr>
      <w:r>
        <w:rPr>
          <w:rFonts w:ascii="Times New Roman" w:hAnsi="Times New Roman"/>
          <w:color w:val="000000"/>
          <w:sz w:val="20"/>
        </w:rPr>
        <w:t>China and other designated countries, or with other specified links to China and other designated countries. These rules also may broadly require us to extract promises from other third-party service providers that they will not transfer data we share with them onward to parties linked to countries of concern.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Moreover, the biopharmaceutical industry in China is strictly regulated by the Chinese government. Changes to Chinese regulations or government policies affecting biopharmaceutical companies are unpredictable and may have a material adverse effect on our partners, licensors, suppliers, manufacturers or collaborators in China which could have an adverse effect on our business, financial condition, results of operations and prospects. Evolving changes in China’s public health, economic, political, and social conditions and the uncertainty around China’s relationship with other governments, such as the United States and the UK, could also negatively impact our ability to manufacture our product candidates for our planned clinical trials or have an adverse effect on our ability to secure government funding, which could adversely affect our financial condition and cause us to delay our clinical development programs. Furthermore, if one or more of our manufacturers or suppliers in China, including WuXi Biologics, is deemed to be a biotechnology company of concern, our operations and financial condition may be negatively impacted as a result of any delays or increased costs arising from the trade restrictions and other foreign regulatory requirements affecting such third parties. In addition, while we may work to establish relationships with CROs and CMOs outside of China, moving to those suppliers in the event of a geopolitical instability affecting our collaborators in China could introduce delays into the development program.</w:t>
      </w:r>
    </w:p>
    <w:p>
      <w:pPr>
        <w:pStyle w:val="TextBody"/>
        <w:bidi w:val="0"/>
        <w:spacing w:lineRule="auto" w:line="302" w:before="200" w:after="283"/>
        <w:jc w:val="both"/>
        <w:rPr>
          <w:rFonts w:ascii="Times New Roman" w:hAnsi="Times New Roman"/>
          <w:b/>
          <w:i/>
          <w:color w:val="000000"/>
          <w:sz w:val="20"/>
        </w:rPr>
      </w:pPr>
      <w:r>
        <w:rPr>
          <w:rFonts w:ascii="Times New Roman" w:hAnsi="Times New Roman"/>
          <w:b/>
          <w:i/>
          <w:color w:val="000000"/>
          <w:sz w:val="20"/>
        </w:rPr>
        <w:t>U.S.-China trade relations may adversely impact our supply chain operations and business.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U.S. and Chinese governments have taken certain actions that change trade policies, including tariffs that affect certain products which are manufactured in China and mutual exchange of certain types of data. Due to our reliance on WuXi Biologics and Hangzhou DAC to supply and manufacture our product candidates and their components, we are reliant on collaborating with a company with significant operations in China. It is unknown whether and to what extent new tariffs, laws or regulations will be adopted that increase the cost or feasibility of importing and/or exporting products, components and information from China to the United States and vice versa. Further, the effect of any such new tariffs or actions on our industry and customers is unknown and difficult to predict. As additional new tariffs, legislation and/or regulations are implemented, or if existing trade agreements are renegotiated or if China or other affected countries take retaliatory trade actions, such changes could have a material adverse effect on our clinical development plans, business, financial condition, results of operations or cash flows.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Litigation and legal proceedings may substantially increase our costs and harm our business.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As described in Note 12 (Commitments and contingencies) to the financial statements in Part I, Item 1 of this Quarterly Report on Form 10-Q, we have been, are, and may in the future become, party to lawsuits and legal proceedings including, without limitation, actions and proceedings in the ordinary course of business relating to our collaboration partners, directors, officers, stockholders, intellectual property rights, employment matters and the safety or efficacy of our products, which will cause us to incur legal fees and other costs related thereto, including potential expenses for the reimbursement of legal fees of officers and directors under indemnification obligations. For example, in June 2022, EOC filed a Request for Arbitration with the International Chamber of Commerce’s International Court of Arbitration against us. In the Request for Arbitration, EOC claimed that we breached certain provisions of the EOC License Agreement, including failing to provide certain manufacturing information to EOC. As a result, we became party to a lengthy arbitration process and, although we were found not liable for any damages to EOC in the arbitration panel’s final award in September 2024, we nevertheless experienced management distraction and incurred significant legal fees to defend ourselves.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The expense of defending against litigation and legal proceedings may be significant and there can be no assurance that we will be successful in any defense. Further, the amount of time that may be required to resolve such lawsuits or legal proceedings is unpredictable, and these actions may divert management’s attention from the day-to-day operations of our business, which could adversely affect our business, results of operations, and cash flows.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operations, cash flows and financial position. Additionally, any such claims, whether or not successful, could damage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reputation and business. Litigation and legal proceedings are subject to inherent uncertainties, and an adverse result in such matters that may arise from time to time could have a material adverse effect on our business, results of operations, and financial condition.</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Our stock price is volatile.</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market price of our common stock could be subject to significant fluctuations. From the completion of our reverse merger with Aerpio Pharmaceuticals, Inc. on August 26, 2021 through August 3, 2026, the closing price for our common stock ranged from a low of $1.32 to a high of $33.00 per share. Market prices for securities of early-stage pharmaceutical, biotechnology, and other life sciences companies have historically been particularly volatile. Some of the factors that may cause the market price of our common stock to fluctuate include:</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results of current, and any future, nonclinical or clinical trials of the ADC Therapies or any of our product candidates that we may develop;</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ability to obtain regulatory approvals for ADC Therapies or for any other product candidates that we may develop, and delays or failures to obtain such approvals;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failure of the ADC Products or any product candidates that we may develop, if approved, for marketing and commercialization, to achieve commercial success;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any inability to obtain adequate supply of the ADC Therapies or any of our product candidates that we may develop or the inability to do so at acceptable prices;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entry into, or termination of, key agreements, including key licensing, supply or collaboration agreements;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adverse regulatory authority decisions;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initiation of material developments in, or conclusion of, disputes or litigation to enforce or defend any of our intellectual property rights or defend against the intellectual property rights of others;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changes in laws or regulations applicable to the ADC Therapies or any of our product candidates that we may develop;</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announcements by commercial partners or competitors, including, without limitation, with respect to new commercial products, clinical progress (or the lack thereof), significant contracts, commercial relationships, or capital commitments;</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failure to meet or exceed financial and development projections we may provide to the public;</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failure to meet or exceed the financial and development projections of the investment community;</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the perception of the pharmaceutical industry by the public, legislatures, regulators and the investment community;</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general market conditions and other factors unrelated to our operating performance or the operating performance of our competitors, including turmoil in the global banking system, deteriorating market conditions due to investor concerns regarding inflation and conflicts in Ukraine and the Middle East;</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adverse publicity relating to our markets, including with respect to other products and potential products in such markets;</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the introduction of technological innovations or new therapies competing with our products and potential products;</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 xml:space="preserve">announcements of significant acquisitions, strategic collaborations, joint ventures or capital commitments by us or our competitors;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the hiring or loss of key employees;</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if securities or industry analysts do not publish research or reports about our business, or if they issue an adverse or misleading opinion regarding our business and stock;</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changes in the market valuations of similar companies;</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general and industry-specific economic conditions potentially affecting our research and development expenditures;</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sales of our common stock by us or our stockholders in the future, or the anticipation thereof;</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trading volume of our common stock;</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changes in the structure of health care payment systems;</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adverse regulatory decisions;</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trading volume of our common stock; and</w:t>
      </w:r>
    </w:p>
    <w:p>
      <w:pPr>
        <w:pStyle w:val="TextBody"/>
        <w:bidi w:val="0"/>
        <w:spacing w:lineRule="auto" w:line="302" w:before="200" w:after="283"/>
        <w:jc w:val="both"/>
        <w:rPr>
          <w:color w:val="000000"/>
        </w:rPr>
      </w:pPr>
      <w:r>
        <w:rPr>
          <w:color w:val="000000"/>
        </w:rPr>
        <w:t>•</w:t>
      </w:r>
    </w:p>
    <w:p>
      <w:pPr>
        <w:pStyle w:val="TextBody"/>
        <w:bidi w:val="0"/>
        <w:spacing w:lineRule="auto" w:line="302" w:before="200" w:after="283"/>
        <w:jc w:val="both"/>
        <w:rPr>
          <w:rFonts w:ascii="Times New Roman" w:hAnsi="Times New Roman"/>
          <w:color w:val="000000"/>
          <w:sz w:val="20"/>
        </w:rPr>
      </w:pPr>
      <w:r>
        <w:rPr>
          <w:rFonts w:ascii="Times New Roman" w:hAnsi="Times New Roman"/>
          <w:color w:val="000000"/>
          <w:sz w:val="20"/>
        </w:rPr>
        <w:t>period-to-period fluctuations in our financial results.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the past, following periods of volatility in the market price of a company’s securities, stockholders have often instituted class action securities litigation against those companies. Regardless of the merits or the ultimate results of such litigation, if instituted, such litigation could result in substantial costs and diversion of management’s attention and resources, which could significantly harm our profitability and reputation.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Additionally, a decrease in our stock price may cause our common stock to no longer satisfy the continued listing standards of Nasdaq. If we are not able to maintain the requirements for listing on Nasdaq, we could be delisted, which could have a materially adverse effect on our ability to raise additional funds as well as the price and liquidity of our common stock.</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 We rely heavily on direct management oversight of transactions, along with the use of legal and outsourced accounting professionals. Although we may implement, document, and modify policies and procedures to maintain effective internal controls, we may identify significant deficiencies and material weaknesses or fail to remediate previously identified deficiencies in our internal controls.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There can be no assurance that we will be able to comply with the continued listing standards of Nasdaq.</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If Nasdaq delists our shares of common stock from trading on its exchange for failure to meet Nasdaq’s listing standards, we and our stockholders could face significant material adverse consequences including:</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 limited availability of market quotations for our securities;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reduced liquidity for our securities;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 limited amount of new and analyst coverage; and</w:t>
      </w:r>
    </w:p>
    <w:p>
      <w:pPr>
        <w:pStyle w:val="TextBody"/>
        <w:bidi w:val="0"/>
        <w:spacing w:lineRule="auto" w:line="331" w:before="200" w:after="283"/>
        <w:jc w:val="both"/>
        <w:rPr>
          <w:color w:val="000000"/>
        </w:rPr>
      </w:pPr>
      <w:r>
        <w:rPr>
          <w:color w:val="000000"/>
        </w:rPr>
        <w: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 decreased ability to issue additional securities or obtain additional financing in the future.</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including by our existing stockholders, could cause our stock price to fall.</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these sales and others may have on the prevailing market price of our common stock.</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On February 12, 2024, we filed a universal shelf registration statement on Form S-3 (File No. 333-277018) (the “Shelf Registration Statement”), which became effective on April 30, 2024. No securities have yet been sold under the Shelf Registration Statement. We have established, and may in the future establish, “at-the-market” programs pursuant to which we may offer and sell shares of our common stock pursuant to the Shelf Registration Statement. Further, pursuant to the (i) Registration Rights Agreement dated March 4, 2025, we filed a registration statement on Form S-3 to register the shares of common stock (including those subject to pre-funded warrants) issued and sold in the PIPE Financing that closed on March 4, 2025, which registration statement was declared effective on April 8, 2025, and (ii) Registration Rights Agreement dated May 14, 2026, we filed a registration statement on Form S-3 to register the shares of common stock (including those subject to pre-funded warrants) issued and sold in the PIPE Financing that closed on May 14, 2026, which registration statement was declared effective on June 9, 2026.</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directors and employees may sell our stock through 10b5-1 trading plans or in the market during open windows under our insider trading policy without such plans in place. Sales of our common stock by our officers, directors, holders of 5% or more of our capital stock and their respective affiliates, and employees could be perceived negatively by investors or cause downward pressure on our common stock and cause a reduction in the price of our common stock as a result. We have also registered shares of our common stock that we may issue under our employee equity incentive plans. These shares will be able to be sold freely in the public market upon issuance.</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common stock and will be able to exert significant control over matters subject to stockholder approval.</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executive officers, directors, holders of 5% or more of our capital stock and their respective affiliates beneficially own a significant portion of our outstanding voting stock.</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These stockholders, acting together, may be able to impact matters requiring stockholder approval. For example, they may be able to impact the elections of directors, amendments to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Unfavorable market and global economic conditions as a result of multiple global events, adverse developments affecting the financial services industry, the conflicts in Ukraine and the Middle East, potential uncertainty related to Taiwan and its relationship to China, fluctuations in interest rates, the implementation and suspension of tariffs, and general economic downturns, could adversely affect our business, financial condition or results of operations.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While the potential economic impact brought by multiple adverse global circumstances, such as conflicts in Ukraine and the Middle East, potential uncertainty related to Taiwan and its relationship with China, fluctuations in interest rates, the implementation of tariffs, adverse developments affecting the financial services industry and general economic downturns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any of our future product candidates and our ability to raise additional capital when needed on acceptable terms, if at all. A weak or declining economy could also strain our suppliers, possibly resulting in supply disruption, or cause our customers to delay making payments for our services. In the event of prolonged business interruptions due to geopolitical events, we could incur significant losses, require substantial recovery time and experience significant expenditures in order to resume our business or clinical operations. We have no operations in the Middle East, Russia, Belarus or Ukraine, but we do not and cannot know if the current uncertainties in these geopolitical areas may escalate and result in broad economic and security conditions or rationing of medical supplies, which could limit our ability to conduct clinical trials outside the United States or result in material implications for our business. In addition, our insurance policies typically contain a war exclusion of some description and we do not know how our insurers are likely to respond in the event of a loss alleged to have been caused by geopolitical uncertainties. Any of the foregoing could harm our business and we cannot anticipate all of the ways in which the current economic climate and financial market conditions could adversely impact our business.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Insurance Corporation (the “FDIC”), as receiver, and on March 27, 2023, First-Citizens Bank &amp; Trust Company assumed all of SVB’s customer deposits and certain other liabilities and acquired substantially all of SVB’s loans and certain other assets from the FDIC. Similarly, on March 12, 2023, Signature Bank and Silvergate Capital Corp. were each swept into receivership. While we only had a minimal amount of our cash directly at SVB and, since that date, the FDIC has stated that all depositors of SVB would be made whole, and First-Citizens Bank &amp; Trust Company has assumed our deposits from SVB, there is no guarantee that the federal government would guarantee all depositors as they did with SVB depositors in the event of further bank closures and continued instability in the global banking system may adversely impact our business and financial condition.</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operations and performance may be affected by political or civil unrest or military action, including the current conflicts in Ukraine and the Middle East, terrorist activity, unstable governments and legal systems. As a result of global economic conditions, some third-party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could lead to reduced demand for our drug products, which could have a material adverse effect on our revenues, business and results of operations.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June 30, 2026, we had cash, cash equivalents and short-term investments of $190.0 million consisting of U.S. government treasury bills, commercial paper, and corporate debt securities. Any default by the U.S. government or credit downgrade of the securities we hold could impact the liquidity or valuation of our investments.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or the third parties upon whom we depend, may be adversely affected by earthquakes, wildfires (such as the Pacific Palisades fire, which burned near but did not reach our former headquarters) and other natural disasters, and our business continuity and disaster recovery plans may not adequately protect us from a serious disaster.</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Any unplanned event, such as flood, fire, explosion, earthquake, extreme weather condition, medical epidemics, such as the COVID-19 pandemic, power shortage, telecommunication failure, cyberattacks, geopolitical tensions, including those related to the conflicts in Ukraine and the Middle East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 or interruption of our business operations. Earthquakes, wildfires or other natural disasters could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are a smaller reporting company. We cannot be certain whether the reduced disclosure requirements applicable to smaller reporting companies will make our common stock less attractive to investors or otherwise limit our ability to raise additional funds.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We are a “smaller reporting company” under applicable securities regulations. A smaller reporting company is a company that (i) as of the last business day of its most recently completed second fiscal quarter has an aggregate market value of the company’s voting stock held by non-affiliates, or public float, of less than $250 million or (ii) for the most recently completed fiscal year has less than $100 million in revenue and as of the last business day of its most recently completed second fiscal quarter has less than $700 million in public float. In addition, a smaller reporting company is able to provide simplified executive compensation disclosures in its filings and has certain other reduced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We do not anticipate that we will pay any cash dividends in the foreseeable future.</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current expectation is that we will retain our future earnings, if any, to fund the development and growth of our business. As a result, capital appreciation, if any, of our common stock will be stockholders’ sole source of gain, if any, for the foreseeable future.</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industry or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us more difficult and may prevent attempts our stockholders to replace or remove our management.</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Provisions in our amended and restated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incorporated in Delaware, we are governed by the provisions of Section 203 of the DGCL, which prohibits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stockholders owning in excess of 15% of our outstanding voting stock from merging or combining with us in certain circumstances.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Our bylaws provide that the Court of Chancery of the State of Delaware (or, if the Court of Chancery of the State of Delaware does not have jurisdiction, the federal district court for the District of Delaware) is the sole and exclusive forum for any state law claims for (i) any derivative action or proceeding brought on our behalf, (ii) any action asserting a breach of fiduciary duty owed by any of our directors, officers or other employees or our stockholders to us or our stockholders, (iii) any action asserting a claim against us arising pursuant to any provisions of the DGCL, or as to which the DGCL confers jurisdiction on the Court of Chancery of the State of Delaware, our amended and restated certificate of incorporation or our bylaws (including the interpretation, validity or enforceability thereof), or (iv) any action asserting a claim against us that is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The amended and restated bylaws provide that the federal district courts are the exclusive forum for resolving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the bylaws to be inapplicable or unenforceable in an action, we may incur additional costs associated with resolving such action in other jurisdictions, which could adversely affect our business and financial condition. Any person or entity purchasing or otherwise acquiring any interest in shares of our capital stock shall be deemed to have notice of and to have consented to the provisions of our bylaws described above.</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before="200" w:after="283"/>
        <w:jc w:val="left"/>
        <w:rPr>
          <w:rFonts w:ascii="Times New Roman" w:hAnsi="Times New Roman"/>
          <w:b/>
          <w:color w:val="000000"/>
          <w:sz w:val="20"/>
        </w:rPr>
      </w:pPr>
      <w:bookmarkStart w:id="18" w:name="unregistered_sales_of_equity"/>
      <w:bookmarkEnd w:id="18"/>
      <w:r>
        <w:rPr>
          <w:rFonts w:ascii="Times New Roman" w:hAnsi="Times New Roman"/>
          <w:b/>
          <w:color w:val="000000"/>
          <w:sz w:val="20"/>
        </w:rPr>
        <w:t>Item 2. Unregistered Sales of Equity Securities and Use of Proceeds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lineRule="auto" w:line="331" w:before="200" w:after="283"/>
        <w:jc w:val="left"/>
        <w:rPr>
          <w:rFonts w:ascii="Times New Roman" w:hAnsi="Times New Roman"/>
          <w:b/>
          <w:color w:val="000000"/>
          <w:sz w:val="20"/>
        </w:rPr>
      </w:pPr>
      <w:bookmarkStart w:id="19" w:name="defaults_upon_senior_securities"/>
      <w:bookmarkEnd w:id="19"/>
      <w:r>
        <w:rPr>
          <w:rFonts w:ascii="Times New Roman" w:hAnsi="Times New Roman"/>
          <w:b/>
          <w:color w:val="000000"/>
          <w:sz w:val="20"/>
        </w:rPr>
        <w:t>Item 3. Defaults Upon Senior Securities.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lineRule="auto" w:line="331" w:before="200" w:after="283"/>
        <w:jc w:val="left"/>
        <w:rPr>
          <w:rFonts w:ascii="Times New Roman" w:hAnsi="Times New Roman"/>
          <w:b/>
          <w:color w:val="000000"/>
          <w:sz w:val="20"/>
        </w:rPr>
      </w:pPr>
      <w:bookmarkStart w:id="20" w:name="mine_safety_disclosures"/>
      <w:bookmarkEnd w:id="20"/>
      <w:r>
        <w:rPr>
          <w:rFonts w:ascii="Times New Roman" w:hAnsi="Times New Roman"/>
          <w:b/>
          <w:color w:val="000000"/>
          <w:sz w:val="20"/>
        </w:rPr>
        <w:t>Item 4. Mine Safety Disclosures.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lineRule="auto" w:line="331" w:before="200" w:after="283"/>
        <w:jc w:val="left"/>
        <w:rPr>
          <w:rFonts w:ascii="Times New Roman" w:hAnsi="Times New Roman"/>
          <w:b/>
          <w:color w:val="000000"/>
          <w:sz w:val="20"/>
        </w:rPr>
      </w:pPr>
      <w:bookmarkStart w:id="21" w:name="other_information"/>
      <w:bookmarkEnd w:id="21"/>
      <w:r>
        <w:rPr>
          <w:rFonts w:ascii="Times New Roman" w:hAnsi="Times New Roman"/>
          <w:b/>
          <w:color w:val="000000"/>
          <w:sz w:val="20"/>
        </w:rPr>
        <w:t>Item 5. Other Information.</w:t>
      </w:r>
    </w:p>
    <w:p>
      <w:pPr>
        <w:pStyle w:val="TextBody"/>
        <w:bidi w:val="0"/>
        <w:spacing w:lineRule="auto" w:line="331" w:before="200" w:after="283"/>
        <w:jc w:val="both"/>
        <w:rPr>
          <w:rFonts w:ascii="Times New Roman" w:hAnsi="Times New Roman"/>
          <w:b/>
          <w:i/>
          <w:color w:val="000000"/>
          <w:sz w:val="20"/>
        </w:rPr>
      </w:pPr>
      <w:r>
        <w:rPr>
          <w:rFonts w:ascii="Times New Roman" w:hAnsi="Times New Roman"/>
          <w:b/>
          <w:i/>
          <w:color w:val="000000"/>
          <w:sz w:val="20"/>
        </w:rPr>
        <w:t>Securities Trading Plans of Directors and Executive Officers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During our last fiscal quarter, none of our directors or officers, as defined in Rule 16a-1(f), adopted and/or terminated a “Rule 10b5-1 trading arrangement” or a “non-Rule 10b5-1 trading arrangement,” as defined in Regulation S-K Item 408.</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jc w:val="both"/>
        <w:rPr>
          <w:rFonts w:ascii="Times New Roman" w:hAnsi="Times New Roman"/>
          <w:b/>
          <w:color w:val="000000"/>
          <w:sz w:val="20"/>
        </w:rPr>
      </w:pPr>
      <w:bookmarkStart w:id="22" w:name="item6_exhibits"/>
      <w:bookmarkEnd w:id="22"/>
      <w:r>
        <w:rPr>
          <w:rFonts w:ascii="Times New Roman" w:hAnsi="Times New Roman"/>
          <w:b/>
          <w:color w:val="000000"/>
          <w:sz w:val="20"/>
        </w:rPr>
        <w:t>Item 6. Exhibits.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The exhibits listed on the Exhibit Index immediately preceding such exhibits, which is incorporated herein by reference, are filed or furnished as part of this Quarterly Report.</w:t>
      </w:r>
    </w:p>
    <w:p>
      <w:pPr>
        <w:pStyle w:val="TextBody"/>
        <w:bidi w:val="0"/>
        <w:spacing w:lineRule="auto" w:line="331"/>
        <w:jc w:val="both"/>
        <w:rPr/>
      </w:pPr>
      <w:r>
        <w:rPr/>
        <w:t> </w:t>
      </w:r>
    </w:p>
    <w:tbl>
      <w:tblPr>
        <w:tblW w:w="10205" w:type="dxa"/>
        <w:jc w:val="left"/>
        <w:tblInd w:w="0" w:type="dxa"/>
        <w:tblLayout w:type="fixed"/>
        <w:tblCellMar>
          <w:top w:w="28" w:type="dxa"/>
          <w:left w:w="28" w:type="dxa"/>
          <w:bottom w:w="28" w:type="dxa"/>
          <w:right w:w="28" w:type="dxa"/>
        </w:tblCellMar>
      </w:tblPr>
      <w:tblGrid>
        <w:gridCol w:w="760"/>
        <w:gridCol w:w="146"/>
        <w:gridCol w:w="9299"/>
      </w:tblGrid>
      <w:tr>
        <w:trPr/>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9" w:type="dxa"/>
            <w:tcBorders/>
            <w:vAlign w:val="center"/>
          </w:tcPr>
          <w:p>
            <w:pPr>
              <w:pStyle w:val="TableContents"/>
              <w:bidi w:val="0"/>
              <w:spacing w:before="0" w:after="283"/>
              <w:jc w:val="left"/>
              <w:rPr>
                <w:sz w:val="4"/>
                <w:szCs w:val="4"/>
              </w:rPr>
            </w:pPr>
            <w:r>
              <w:rPr>
                <w:sz w:val="4"/>
                <w:szCs w:val="4"/>
              </w:rPr>
            </w:r>
          </w:p>
        </w:tc>
      </w:tr>
      <w:tr>
        <w:trPr/>
        <w:tc>
          <w:tcPr>
            <w:tcW w:w="760" w:type="dxa"/>
            <w:tcBorders>
              <w:bottom w:val="single" w:sz="8" w:space="0" w:color="000000"/>
            </w:tcBorders>
            <w:tcMar>
              <w:top w:w="0" w:type="dxa"/>
              <w:left w:w="0" w:type="dxa"/>
              <w:right w:w="0" w:type="dxa"/>
            </w:tcMar>
            <w:vAlign w:val="center"/>
          </w:tcPr>
          <w:p>
            <w:pPr>
              <w:pStyle w:val="TableContents"/>
              <w:bidi w:val="0"/>
              <w:spacing w:lineRule="auto" w:line="302"/>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lineRule="auto" w:line="302"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lineRule="auto" w:line="302" w:before="0" w:after="283"/>
              <w:jc w:val="left"/>
              <w:rPr/>
            </w:pPr>
            <w:r>
              <w:rPr/>
              <w:t> </w:t>
            </w:r>
          </w:p>
        </w:tc>
        <w:tc>
          <w:tcPr>
            <w:tcW w:w="9299" w:type="dxa"/>
            <w:tcBorders>
              <w:bottom w:val="single" w:sz="8" w:space="0" w:color="000000"/>
            </w:tcBorders>
            <w:tcMar>
              <w:top w:w="0" w:type="dxa"/>
              <w:left w:w="0" w:type="dxa"/>
              <w:right w:w="0" w:type="dxa"/>
            </w:tcMar>
            <w:vAlign w:val="center"/>
          </w:tcPr>
          <w:p>
            <w:pPr>
              <w:pStyle w:val="TableContents"/>
              <w:bidi w:val="0"/>
              <w:spacing w:lineRule="auto" w:line="302"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60"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760" w:type="dxa"/>
            <w:tcBorders/>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302" w:before="0" w:after="283"/>
              <w:jc w:val="left"/>
              <w:rPr/>
            </w:pPr>
            <w:hyperlink r:id="rId2">
              <w:r>
                <w:rPr>
                  <w:rStyle w:val="InternetLink"/>
                  <w:rFonts w:ascii="Times New Roman" w:hAnsi="Times New Roman"/>
                  <w:color w:val="0000FF"/>
                  <w:sz w:val="20"/>
                  <w:u w:val="single"/>
                </w:rPr>
                <w:t>Amended and Restated Certificate of Incorporation of the Company (incorporated by reference to Exhibit 3.1 to the Registrant’s Current Report on Form 8-K (File No. 001-38560) filed with the SEC on</w:t>
              </w:r>
            </w:hyperlink>
            <w:hyperlink r:id="rId3">
              <w:r>
                <w:rPr>
                  <w:rStyle w:val="InternetLink"/>
                  <w:rFonts w:ascii="Times New Roman" w:hAnsi="Times New Roman"/>
                  <w:color w:val="0000FF"/>
                  <w:sz w:val="20"/>
                </w:rPr>
                <w:t xml:space="preserve"> </w:t>
              </w:r>
            </w:hyperlink>
            <w:hyperlink r:id="rId4">
              <w:r>
                <w:rPr>
                  <w:rStyle w:val="InternetLink"/>
                  <w:rFonts w:ascii="Times New Roman" w:hAnsi="Times New Roman"/>
                  <w:color w:val="000080"/>
                  <w:sz w:val="20"/>
                  <w:u w:val="single"/>
                </w:rPr>
                <w:t>March 18</w:t>
              </w:r>
            </w:hyperlink>
            <w:hyperlink r:id="rId5">
              <w:r>
                <w:rPr>
                  <w:rStyle w:val="InternetLink"/>
                  <w:rFonts w:ascii="Times New Roman" w:hAnsi="Times New Roman"/>
                  <w:color w:val="000080"/>
                  <w:sz w:val="20"/>
                  <w:u w:val="single"/>
                </w:rPr>
                <w:t>, 202</w:t>
              </w:r>
            </w:hyperlink>
            <w:hyperlink r:id="rId6">
              <w:r>
                <w:rPr>
                  <w:rStyle w:val="InternetLink"/>
                  <w:rFonts w:ascii="Times New Roman" w:hAnsi="Times New Roman"/>
                  <w:color w:val="000080"/>
                  <w:sz w:val="20"/>
                  <w:u w:val="single"/>
                </w:rPr>
                <w:t>5</w:t>
              </w:r>
            </w:hyperlink>
            <w:hyperlink r:id="rId7">
              <w:r>
                <w:rPr>
                  <w:rStyle w:val="InternetLink"/>
                  <w:rFonts w:ascii="Times New Roman" w:hAnsi="Times New Roman"/>
                  <w:color w:val="000080"/>
                  <w:sz w:val="20"/>
                  <w:u w:val="single"/>
                </w:rPr>
                <w:t>).</w:t>
              </w:r>
            </w:hyperlink>
            <w:hyperlink r:id="rId8">
              <w:r>
                <w:rPr>
                  <w:rStyle w:val="InternetLink"/>
                  <w:rFonts w:ascii="Times New Roman" w:hAnsi="Times New Roman"/>
                  <w:color w:val="0000FF"/>
                  <w:sz w:val="20"/>
                </w:rPr>
                <w:t xml:space="preserve"> </w:t>
              </w:r>
            </w:hyperlink>
          </w:p>
        </w:tc>
      </w:tr>
      <w:tr>
        <w:trPr/>
        <w:tc>
          <w:tcPr>
            <w:tcW w:w="760"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r>
      <w:tr>
        <w:trPr/>
        <w:tc>
          <w:tcPr>
            <w:tcW w:w="760" w:type="dxa"/>
            <w:tcBorders/>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302" w:before="0" w:after="283"/>
              <w:jc w:val="left"/>
              <w:rPr/>
            </w:pPr>
            <w:hyperlink r:id="rId9">
              <w:r>
                <w:rPr>
                  <w:rStyle w:val="InternetLink"/>
                  <w:rFonts w:ascii="Times New Roman" w:hAnsi="Times New Roman"/>
                  <w:color w:val="000080"/>
                  <w:sz w:val="20"/>
                  <w:u w:val="single"/>
                </w:rPr>
                <w:t>Amended and Restated Bylaws of the Company (incorporated by reference to Exhibit 3.</w:t>
              </w:r>
            </w:hyperlink>
            <w:hyperlink r:id="rId10">
              <w:r>
                <w:rPr>
                  <w:rStyle w:val="InternetLink"/>
                  <w:rFonts w:ascii="Times New Roman" w:hAnsi="Times New Roman"/>
                  <w:color w:val="000080"/>
                  <w:sz w:val="20"/>
                  <w:u w:val="single"/>
                </w:rPr>
                <w:t>2</w:t>
              </w:r>
            </w:hyperlink>
            <w:hyperlink r:id="rId11">
              <w:r>
                <w:rPr>
                  <w:rStyle w:val="InternetLink"/>
                  <w:rFonts w:ascii="Times New Roman" w:hAnsi="Times New Roman"/>
                  <w:color w:val="000080"/>
                  <w:sz w:val="20"/>
                  <w:u w:val="single"/>
                </w:rPr>
                <w:t xml:space="preserve"> to the Registrant’s Current Report on Form 8-K (File No. 001-38560) filed with the SEC on</w:t>
              </w:r>
            </w:hyperlink>
            <w:hyperlink r:id="rId12">
              <w:r>
                <w:rPr>
                  <w:rStyle w:val="InternetLink"/>
                  <w:rFonts w:ascii="Times New Roman" w:hAnsi="Times New Roman"/>
                  <w:color w:val="0000FF"/>
                  <w:sz w:val="20"/>
                </w:rPr>
                <w:t xml:space="preserve"> </w:t>
              </w:r>
            </w:hyperlink>
            <w:hyperlink r:id="rId13">
              <w:r>
                <w:rPr>
                  <w:rStyle w:val="InternetLink"/>
                  <w:rFonts w:ascii="Times New Roman" w:hAnsi="Times New Roman"/>
                  <w:color w:val="0000FF"/>
                  <w:sz w:val="20"/>
                  <w:u w:val="single"/>
                </w:rPr>
                <w:t>March</w:t>
              </w:r>
            </w:hyperlink>
            <w:hyperlink r:id="rId14">
              <w:r>
                <w:rPr>
                  <w:rStyle w:val="InternetLink"/>
                  <w:rFonts w:ascii="Times New Roman" w:hAnsi="Times New Roman"/>
                  <w:color w:val="0000FF"/>
                  <w:sz w:val="20"/>
                </w:rPr>
                <w:t xml:space="preserve"> </w:t>
              </w:r>
            </w:hyperlink>
            <w:hyperlink r:id="rId15">
              <w:r>
                <w:rPr>
                  <w:rStyle w:val="InternetLink"/>
                  <w:rFonts w:ascii="Times New Roman" w:hAnsi="Times New Roman"/>
                  <w:color w:val="000080"/>
                  <w:sz w:val="20"/>
                  <w:u w:val="single"/>
                </w:rPr>
                <w:t>18</w:t>
              </w:r>
            </w:hyperlink>
            <w:hyperlink r:id="rId16">
              <w:r>
                <w:rPr>
                  <w:rStyle w:val="InternetLink"/>
                  <w:rFonts w:ascii="Times New Roman" w:hAnsi="Times New Roman"/>
                  <w:color w:val="000080"/>
                  <w:sz w:val="20"/>
                  <w:u w:val="single"/>
                </w:rPr>
                <w:t>, 202</w:t>
              </w:r>
            </w:hyperlink>
            <w:hyperlink r:id="rId17">
              <w:r>
                <w:rPr>
                  <w:rStyle w:val="InternetLink"/>
                  <w:rFonts w:ascii="Times New Roman" w:hAnsi="Times New Roman"/>
                  <w:color w:val="000080"/>
                  <w:sz w:val="20"/>
                  <w:u w:val="single"/>
                </w:rPr>
                <w:t>5</w:t>
              </w:r>
            </w:hyperlink>
            <w:hyperlink r:id="rId18">
              <w:r>
                <w:rPr>
                  <w:rStyle w:val="InternetLink"/>
                  <w:rFonts w:ascii="Times New Roman" w:hAnsi="Times New Roman"/>
                  <w:color w:val="000080"/>
                  <w:sz w:val="20"/>
                  <w:u w:val="single"/>
                </w:rPr>
                <w:t>).</w:t>
              </w:r>
            </w:hyperlink>
          </w:p>
        </w:tc>
      </w:tr>
      <w:tr>
        <w:trPr/>
        <w:tc>
          <w:tcPr>
            <w:tcW w:w="760"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r>
      <w:tr>
        <w:trPr/>
        <w:tc>
          <w:tcPr>
            <w:tcW w:w="760" w:type="dxa"/>
            <w:tcBorders/>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252" w:before="0" w:after="283"/>
              <w:jc w:val="left"/>
              <w:rPr/>
            </w:pPr>
            <w:hyperlink r:id="rId19">
              <w:r>
                <w:rPr>
                  <w:rStyle w:val="InternetLink"/>
                  <w:rFonts w:ascii="Times New Roman" w:hAnsi="Times New Roman"/>
                  <w:color w:val="0000FF"/>
                  <w:sz w:val="20"/>
                  <w:u w:val="single"/>
                </w:rPr>
                <w:t>Form of Pre-Funded Warrant to Purchase Common Stock (incorporated by reference to Exhibit 4.1 to the Company’s Current Report on Form 8-K (File No. 001-38560) filed with SEC on May 13, 2026).</w:t>
              </w:r>
            </w:hyperlink>
          </w:p>
        </w:tc>
      </w:tr>
      <w:tr>
        <w:trPr/>
        <w:tc>
          <w:tcPr>
            <w:tcW w:w="760"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r>
      <w:tr>
        <w:trPr/>
        <w:tc>
          <w:tcPr>
            <w:tcW w:w="760" w:type="dxa"/>
            <w:tcBorders/>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252" w:before="0" w:after="283"/>
              <w:jc w:val="left"/>
              <w:rPr/>
            </w:pPr>
            <w:hyperlink r:id="rId20">
              <w:r>
                <w:rPr>
                  <w:rStyle w:val="InternetLink"/>
                  <w:rFonts w:ascii="Times New Roman" w:hAnsi="Times New Roman"/>
                  <w:color w:val="0000FF"/>
                  <w:sz w:val="20"/>
                  <w:u w:val="single"/>
                </w:rPr>
                <w:t>Securities Purchase Agreement, dated May 12, 2026 by and among the Company and each purchaser identified on Exhibit A thereto (incorporated by reference to Exhibit 10.1 to the Company’s Current Report on Form 8-K (File No. 001-38560) filed with the SEC on May 13, 2026).</w:t>
              </w:r>
            </w:hyperlink>
          </w:p>
        </w:tc>
      </w:tr>
      <w:tr>
        <w:trPr/>
        <w:tc>
          <w:tcPr>
            <w:tcW w:w="760"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r>
      <w:tr>
        <w:trPr/>
        <w:tc>
          <w:tcPr>
            <w:tcW w:w="760" w:type="dxa"/>
            <w:tcBorders/>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252" w:before="0" w:after="283"/>
              <w:jc w:val="left"/>
              <w:rPr/>
            </w:pPr>
            <w:hyperlink r:id="rId21">
              <w:r>
                <w:rPr>
                  <w:rStyle w:val="InternetLink"/>
                  <w:rFonts w:ascii="Times New Roman" w:hAnsi="Times New Roman"/>
                  <w:color w:val="0000FF"/>
                  <w:sz w:val="20"/>
                  <w:u w:val="single"/>
                </w:rPr>
                <w:t>Registration Rights Agreement, by and among the Company and the purchasers thereto, dated May 14, 2026 (incorporated by reference to Exhibit 10.2 to the Company’s Registration Statement on Form S-3 (File No. 333-296353) filed with the SEC on May 29, 2026).</w:t>
              </w:r>
            </w:hyperlink>
          </w:p>
        </w:tc>
      </w:tr>
      <w:tr>
        <w:trPr/>
        <w:tc>
          <w:tcPr>
            <w:tcW w:w="760"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r>
      <w:tr>
        <w:trPr/>
        <w:tc>
          <w:tcPr>
            <w:tcW w:w="760" w:type="dxa"/>
            <w:tcBorders/>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302" w:before="0" w:after="283"/>
              <w:jc w:val="left"/>
              <w:rPr/>
            </w:pPr>
            <w:hyperlink w:anchor="whwk-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60"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r>
      <w:tr>
        <w:trPr/>
        <w:tc>
          <w:tcPr>
            <w:tcW w:w="760" w:type="dxa"/>
            <w:tcBorders/>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302" w:before="0" w:after="283"/>
              <w:jc w:val="left"/>
              <w:rPr/>
            </w:pPr>
            <w:hyperlink w:anchor="whwk-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60"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r>
      <w:tr>
        <w:trPr/>
        <w:tc>
          <w:tcPr>
            <w:tcW w:w="760" w:type="dxa"/>
            <w:tcBorders/>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302" w:before="0" w:after="283"/>
              <w:jc w:val="left"/>
              <w:rPr/>
            </w:pPr>
            <w:hyperlink w:anchor="whwk-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60"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r>
      <w:tr>
        <w:trPr/>
        <w:tc>
          <w:tcPr>
            <w:tcW w:w="760" w:type="dxa"/>
            <w:tcBorders/>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302" w:before="0" w:after="283"/>
              <w:jc w:val="left"/>
              <w:rPr/>
            </w:pPr>
            <w:hyperlink w:anchor="whwk-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60"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r>
      <w:tr>
        <w:trPr/>
        <w:tc>
          <w:tcPr>
            <w:tcW w:w="760" w:type="dxa"/>
            <w:tcBorders/>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760"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r>
      <w:tr>
        <w:trPr/>
        <w:tc>
          <w:tcPr>
            <w:tcW w:w="760" w:type="dxa"/>
            <w:tcBorders/>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60"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r>
      <w:tr>
        <w:trPr/>
        <w:tc>
          <w:tcPr>
            <w:tcW w:w="760" w:type="dxa"/>
            <w:tcBorders/>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9299" w:type="dxa"/>
            <w:tcBorders/>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r>
    </w:tbl>
    <w:p>
      <w:pPr>
        <w:pStyle w:val="TextBody"/>
        <w:bidi w:val="0"/>
        <w:spacing w:lineRule="auto" w:line="331"/>
        <w:jc w:val="both"/>
        <w:rPr/>
      </w:pPr>
      <w:r>
        <w:rPr/>
        <w:t> </w:t>
      </w:r>
    </w:p>
    <w:p>
      <w:pPr>
        <w:pStyle w:val="TextBody"/>
        <w:bidi w:val="0"/>
        <w:spacing w:lineRule="auto" w:line="331"/>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 The certifications furnished in Exhibits 32.1 and 32.2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pStyle w:val="TextBody"/>
        <w:bidi w:val="0"/>
        <w:spacing w:lineRule="auto" w:line="331" w:before="200" w:after="283"/>
        <w:jc w:val="both"/>
        <w:rPr/>
      </w:pPr>
      <w:r>
        <w:rPr/>
        <w: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spacing w:lineRule="auto" w:line="273"/>
        <w:jc w:val="left"/>
        <w:rPr/>
      </w:pPr>
      <w:hyperlink w:anchor="toc_page">
        <w:r>
          <w:rPr>
            <w:rStyle w:val="InternetLink"/>
            <w:rFonts w:ascii="Times New Roman" w:hAnsi="Times New Roman"/>
            <w:b/>
            <w:color w:val="0000FF"/>
            <w:sz w:val="20"/>
            <w:u w:val="single"/>
          </w:rPr>
          <w:t>Table of Contents</w:t>
        </w:r>
      </w:hyperlink>
    </w:p>
    <w:p>
      <w:pPr>
        <w:pStyle w:val="TextBody"/>
        <w:bidi w:val="0"/>
        <w:spacing w:lineRule="auto" w:line="273"/>
        <w:jc w:val="left"/>
        <w:rPr/>
      </w:pPr>
      <w:r>
        <w:rPr/>
        <w:t> </w:t>
      </w:r>
    </w:p>
    <w:p>
      <w:pPr>
        <w:pStyle w:val="TextBody"/>
        <w:bidi w:val="0"/>
        <w:spacing w:lineRule="auto" w:line="331"/>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lineRule="auto" w:line="331"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73"/>
        <w:jc w:val="left"/>
        <w:rPr/>
      </w:pPr>
      <w:r>
        <w:rPr/>
        <w:t> </w:t>
      </w:r>
    </w:p>
    <w:tbl>
      <w:tblPr>
        <w:tblW w:w="7128" w:type="dxa"/>
        <w:jc w:val="left"/>
        <w:tblInd w:w="0" w:type="dxa"/>
        <w:tblLayout w:type="fixed"/>
        <w:tblCellMar>
          <w:top w:w="28" w:type="dxa"/>
          <w:left w:w="28" w:type="dxa"/>
          <w:bottom w:w="28" w:type="dxa"/>
          <w:right w:w="28" w:type="dxa"/>
        </w:tblCellMar>
      </w:tblPr>
      <w:tblGrid>
        <w:gridCol w:w="1846"/>
        <w:gridCol w:w="406"/>
        <w:gridCol w:w="487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87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5282" w:type="dxa"/>
            <w:gridSpan w:val="2"/>
            <w:tcBorders/>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WHITEHAWK THERAPEUTICS, INC.</w:t>
            </w:r>
          </w:p>
        </w:tc>
      </w:tr>
      <w:tr>
        <w:trPr/>
        <w:tc>
          <w:tcPr>
            <w:tcW w:w="18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Date: August 6, 2026</w:t>
            </w:r>
          </w:p>
        </w:tc>
        <w:tc>
          <w:tcPr>
            <w:tcW w:w="406" w:type="dxa"/>
            <w:tcBorders/>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By:</w:t>
            </w:r>
          </w:p>
        </w:tc>
        <w:tc>
          <w:tcPr>
            <w:tcW w:w="4876" w:type="dxa"/>
            <w:tcBorders>
              <w:bottom w:val="single" w:sz="4" w:space="0" w:color="000000"/>
            </w:tcBorders>
            <w:tcMar>
              <w:top w:w="0" w:type="dxa"/>
              <w:left w:w="0" w:type="dxa"/>
              <w:right w:w="0" w:type="dxa"/>
            </w:tcMar>
            <w:vAlign w:val="center"/>
          </w:tcPr>
          <w:p>
            <w:pPr>
              <w:pStyle w:val="TableContents"/>
              <w:bidi w:val="0"/>
              <w:spacing w:lineRule="auto" w:line="302" w:before="0" w:after="283"/>
              <w:jc w:val="center"/>
              <w:rPr>
                <w:rFonts w:ascii="Times New Roman" w:hAnsi="Times New Roman"/>
                <w:i/>
                <w:color w:val="000000"/>
                <w:sz w:val="20"/>
              </w:rPr>
            </w:pPr>
            <w:r>
              <w:rPr>
                <w:rFonts w:ascii="Times New Roman" w:hAnsi="Times New Roman"/>
                <w:i/>
                <w:color w:val="000000"/>
                <w:sz w:val="20"/>
              </w:rPr>
              <w:t>/s/ Scott Giacobello</w:t>
            </w:r>
          </w:p>
        </w:tc>
      </w:tr>
      <w:tr>
        <w:trPr/>
        <w:tc>
          <w:tcPr>
            <w:tcW w:w="18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lineRule="auto" w:line="302" w:before="0" w:after="283"/>
              <w:jc w:val="center"/>
              <w:rPr>
                <w:rFonts w:ascii="Times New Roman" w:hAnsi="Times New Roman"/>
                <w:b/>
                <w:color w:val="000000"/>
                <w:sz w:val="20"/>
              </w:rPr>
            </w:pPr>
            <w:r>
              <w:rPr>
                <w:rFonts w:ascii="Times New Roman" w:hAnsi="Times New Roman"/>
                <w:b/>
                <w:color w:val="000000"/>
                <w:sz w:val="20"/>
              </w:rPr>
              <w:t>Scott Giacobello</w:t>
            </w:r>
          </w:p>
        </w:tc>
      </w:tr>
      <w:tr>
        <w:trPr/>
        <w:tc>
          <w:tcPr>
            <w:tcW w:w="18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lineRule="auto" w:line="302"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lineRule="auto" w:line="302" w:before="0" w:after="283"/>
              <w:jc w:val="center"/>
              <w:rPr>
                <w:rFonts w:ascii="Times New Roman" w:hAnsi="Times New Roman"/>
                <w:i/>
                <w:color w:val="000000"/>
                <w:sz w:val="20"/>
              </w:rPr>
            </w:pPr>
            <w:r>
              <w:rPr>
                <w:rFonts w:ascii="Times New Roman" w:hAnsi="Times New Roman"/>
                <w:i/>
                <w:color w:val="000000"/>
                <w:sz w:val="20"/>
              </w:rPr>
              <w:t>(Principal Financial Officer and Duly Authorized Officer)</w:t>
            </w:r>
          </w:p>
        </w:tc>
      </w:tr>
    </w:tbl>
    <w:p>
      <w:pPr>
        <w:pStyle w:val="TextBody"/>
        <w:bidi w:val="0"/>
        <w:spacing w:lineRule="auto" w:line="273"/>
        <w:jc w:val="left"/>
        <w:rPr/>
      </w:pPr>
      <w:r>
        <w:rPr/>
        <w:t> </w:t>
      </w:r>
    </w:p>
    <w:p>
      <w:pPr>
        <w:pStyle w:val="TextBody"/>
        <w:bidi w:val="0"/>
        <w:spacing w:lineRule="auto" w:line="273"/>
        <w:jc w:val="center"/>
        <w:rPr/>
      </w:pPr>
      <w:r>
        <w:rPr/>
        <w:t> </w:t>
      </w:r>
    </w:p>
    <w:p>
      <w:pPr>
        <w:pStyle w:val="TextBody"/>
        <w:bidi w:val="0"/>
        <w:spacing w:lineRule="auto" w:line="27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spacing w:lineRule="auto" w:line="273" w:before="0" w:after="200"/>
        <w:jc w:val="right"/>
        <w:rPr>
          <w:rFonts w:ascii="Times New Roman" w:hAnsi="Times New Roman"/>
          <w:b/>
          <w:color w:val="000000"/>
          <w:sz w:val="20"/>
        </w:rPr>
      </w:pPr>
      <w:bookmarkStart w:id="24" w:name="whwk-ex31_1.htm"/>
      <w:bookmarkStart w:id="25" w:name="kswhwkex31_1"/>
      <w:bookmarkEnd w:id="24"/>
      <w:bookmarkEnd w:id="25"/>
      <w:r>
        <w:rPr>
          <w:rFonts w:ascii="Times New Roman" w:hAnsi="Times New Roman"/>
          <w:b/>
          <w:color w:val="000000"/>
          <w:sz w:val="20"/>
        </w:rPr>
        <w:t>Exhibit 31.1</w:t>
      </w:r>
      <w:r>
        <w:br w:type="page"/>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I, David J. Lennon, certify that:</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Whitehawk Therapeutics, Inc.;</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331"/>
        <w:jc w:val="left"/>
        <w:rPr/>
      </w:pPr>
      <w:r>
        <w:rPr/>
        <w:t> </w:t>
      </w:r>
    </w:p>
    <w:tbl>
      <w:tblPr>
        <w:tblW w:w="5583" w:type="dxa"/>
        <w:jc w:val="left"/>
        <w:tblInd w:w="0" w:type="dxa"/>
        <w:tblLayout w:type="fixed"/>
        <w:tblCellMar>
          <w:top w:w="28" w:type="dxa"/>
          <w:left w:w="28" w:type="dxa"/>
          <w:bottom w:w="28" w:type="dxa"/>
          <w:right w:w="28" w:type="dxa"/>
        </w:tblCellMar>
      </w:tblPr>
      <w:tblGrid>
        <w:gridCol w:w="1846"/>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lineRule="auto" w:line="285" w:before="0" w:after="283"/>
              <w:jc w:val="left"/>
              <w:rPr>
                <w:rFonts w:ascii="Times New Roman" w:hAnsi="Times New Roman"/>
                <w:color w:val="000000"/>
                <w:sz w:val="20"/>
              </w:rPr>
            </w:pPr>
            <w:r>
              <w:rPr>
                <w:rFonts w:ascii="Times New Roman" w:hAnsi="Times New Roman"/>
                <w:color w:val="000000"/>
                <w:sz w:val="20"/>
              </w:rPr>
              <w:t>Date: August 6, 2026</w:t>
            </w:r>
          </w:p>
        </w:tc>
        <w:tc>
          <w:tcPr>
            <w:tcW w:w="406" w:type="dxa"/>
            <w:tcBorders/>
            <w:tcMar>
              <w:top w:w="0" w:type="dxa"/>
              <w:left w:w="0" w:type="dxa"/>
              <w:bottom w:w="0" w:type="dxa"/>
              <w:right w:w="0" w:type="dxa"/>
            </w:tcMar>
            <w:vAlign w:val="center"/>
          </w:tcPr>
          <w:p>
            <w:pPr>
              <w:pStyle w:val="TableContents"/>
              <w:bidi w:val="0"/>
              <w:spacing w:lineRule="auto" w:line="285"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8" w:space="0" w:color="000000"/>
            </w:tcBorders>
            <w:tcMar>
              <w:top w:w="0" w:type="dxa"/>
              <w:left w:w="0" w:type="dxa"/>
              <w:right w:w="0" w:type="dxa"/>
            </w:tcMar>
            <w:vAlign w:val="center"/>
          </w:tcPr>
          <w:p>
            <w:pPr>
              <w:pStyle w:val="TableContents"/>
              <w:bidi w:val="0"/>
              <w:spacing w:lineRule="auto" w:line="285" w:before="0" w:after="283"/>
              <w:jc w:val="center"/>
              <w:rPr>
                <w:rFonts w:ascii="Times New Roman" w:hAnsi="Times New Roman"/>
                <w:color w:val="000000"/>
                <w:sz w:val="20"/>
              </w:rPr>
            </w:pPr>
            <w:r>
              <w:rPr>
                <w:rFonts w:ascii="Times New Roman" w:hAnsi="Times New Roman"/>
                <w:color w:val="000000"/>
                <w:sz w:val="20"/>
              </w:rPr>
              <w:t>/s/ David Lennon, Ph.D.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lineRule="auto" w:line="285" w:before="0" w:after="283"/>
              <w:jc w:val="center"/>
              <w:rPr>
                <w:rFonts w:ascii="Times New Roman" w:hAnsi="Times New Roman"/>
                <w:b/>
                <w:color w:val="000000"/>
                <w:sz w:val="20"/>
              </w:rPr>
            </w:pPr>
            <w:r>
              <w:rPr>
                <w:rFonts w:ascii="Times New Roman" w:hAnsi="Times New Roman"/>
                <w:b/>
                <w:color w:val="000000"/>
                <w:sz w:val="20"/>
              </w:rPr>
              <w:t>David J. Lennon, Ph.D.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lineRule="auto" w:line="285"/>
              <w:jc w:val="center"/>
              <w:rPr>
                <w:rFonts w:ascii="Times New Roman" w:hAnsi="Times New Roman"/>
                <w:b/>
                <w:color w:val="000000"/>
                <w:sz w:val="20"/>
              </w:rPr>
            </w:pPr>
            <w:r>
              <w:rPr>
                <w:rFonts w:ascii="Times New Roman" w:hAnsi="Times New Roman"/>
                <w:b/>
                <w:color w:val="000000"/>
                <w:sz w:val="20"/>
              </w:rPr>
              <w:t>Chief Executive Officer and President</w:t>
            </w:r>
          </w:p>
          <w:p>
            <w:pPr>
              <w:pStyle w:val="TableContents"/>
              <w:bidi w:val="0"/>
              <w:spacing w:lineRule="auto" w:line="285"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lineRule="auto" w:line="331"/>
        <w:jc w:val="left"/>
        <w:rPr/>
      </w:pPr>
      <w:r>
        <w:rPr/>
        <w:t> </w:t>
      </w:r>
    </w:p>
    <w:p>
      <w:pPr>
        <w:pStyle w:val="TextBody"/>
        <w:bidi w:val="0"/>
        <w:spacing w:lineRule="auto" w:line="316"/>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31" w:before="0" w:after="200"/>
        <w:jc w:val="right"/>
        <w:rPr>
          <w:rFonts w:ascii="Times New Roman" w:hAnsi="Times New Roman"/>
          <w:b/>
          <w:color w:val="000000"/>
          <w:sz w:val="20"/>
        </w:rPr>
      </w:pPr>
      <w:bookmarkStart w:id="26" w:name="whwk-ex31_2.htm"/>
      <w:bookmarkStart w:id="27" w:name="kswhwkex31_2"/>
      <w:bookmarkEnd w:id="26"/>
      <w:bookmarkEnd w:id="27"/>
      <w:r>
        <w:rPr>
          <w:rFonts w:ascii="Times New Roman" w:hAnsi="Times New Roman"/>
          <w:b/>
          <w:color w:val="000000"/>
          <w:sz w:val="20"/>
        </w:rPr>
        <w:t>Exhibit 31.2</w:t>
      </w:r>
      <w:r>
        <w:br w:type="page"/>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I, Scott Giacobello, certify that:</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Whitehawk Therapeutics, Inc.;</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lineRule="auto" w:line="331"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lineRule="auto" w:line="331"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331"/>
        <w:jc w:val="left"/>
        <w:rPr/>
      </w:pPr>
      <w:r>
        <w:rPr/>
        <w:t> </w:t>
      </w:r>
    </w:p>
    <w:tbl>
      <w:tblPr>
        <w:tblW w:w="4818" w:type="dxa"/>
        <w:jc w:val="left"/>
        <w:tblInd w:w="0" w:type="dxa"/>
        <w:tblLayout w:type="fixed"/>
        <w:tblCellMar>
          <w:top w:w="28" w:type="dxa"/>
          <w:left w:w="28" w:type="dxa"/>
          <w:bottom w:w="28" w:type="dxa"/>
          <w:right w:w="28" w:type="dxa"/>
        </w:tblCellMar>
      </w:tblPr>
      <w:tblGrid>
        <w:gridCol w:w="1846"/>
        <w:gridCol w:w="406"/>
        <w:gridCol w:w="256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lineRule="auto" w:line="285" w:before="0" w:after="283"/>
              <w:jc w:val="left"/>
              <w:rPr>
                <w:rFonts w:ascii="Times New Roman" w:hAnsi="Times New Roman"/>
                <w:color w:val="000000"/>
                <w:sz w:val="20"/>
              </w:rPr>
            </w:pPr>
            <w:r>
              <w:rPr>
                <w:rFonts w:ascii="Times New Roman" w:hAnsi="Times New Roman"/>
                <w:color w:val="000000"/>
                <w:sz w:val="20"/>
              </w:rPr>
              <w:t>Date: August 6, 2026</w:t>
            </w:r>
          </w:p>
        </w:tc>
        <w:tc>
          <w:tcPr>
            <w:tcW w:w="406" w:type="dxa"/>
            <w:tcBorders/>
            <w:tcMar>
              <w:top w:w="0" w:type="dxa"/>
              <w:left w:w="0" w:type="dxa"/>
              <w:bottom w:w="0" w:type="dxa"/>
              <w:right w:w="0" w:type="dxa"/>
            </w:tcMar>
            <w:vAlign w:val="center"/>
          </w:tcPr>
          <w:p>
            <w:pPr>
              <w:pStyle w:val="TableContents"/>
              <w:bidi w:val="0"/>
              <w:spacing w:lineRule="auto" w:line="285"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8" w:space="0" w:color="000000"/>
            </w:tcBorders>
            <w:tcMar>
              <w:top w:w="0" w:type="dxa"/>
              <w:left w:w="0" w:type="dxa"/>
              <w:right w:w="0" w:type="dxa"/>
            </w:tcMar>
            <w:vAlign w:val="center"/>
          </w:tcPr>
          <w:p>
            <w:pPr>
              <w:pStyle w:val="TableContents"/>
              <w:bidi w:val="0"/>
              <w:spacing w:lineRule="auto" w:line="285" w:before="0" w:after="283"/>
              <w:jc w:val="center"/>
              <w:rPr>
                <w:rFonts w:ascii="Times New Roman" w:hAnsi="Times New Roman"/>
                <w:color w:val="000000"/>
                <w:sz w:val="20"/>
              </w:rPr>
            </w:pPr>
            <w:r>
              <w:rPr>
                <w:rFonts w:ascii="Times New Roman" w:hAnsi="Times New Roman"/>
                <w:color w:val="000000"/>
                <w:sz w:val="20"/>
              </w:rPr>
              <w:t>/s/ Scott Giacobello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lineRule="auto" w:line="285" w:before="0" w:after="283"/>
              <w:jc w:val="center"/>
              <w:rPr>
                <w:rFonts w:ascii="Times New Roman" w:hAnsi="Times New Roman"/>
                <w:b/>
                <w:color w:val="000000"/>
                <w:sz w:val="20"/>
              </w:rPr>
            </w:pPr>
            <w:r>
              <w:rPr>
                <w:rFonts w:ascii="Times New Roman" w:hAnsi="Times New Roman"/>
                <w:b/>
                <w:color w:val="000000"/>
                <w:sz w:val="20"/>
              </w:rPr>
              <w:t>Scott Giacobello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lineRule="auto" w:line="285"/>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lineRule="auto" w:line="285"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spacing w:lineRule="auto" w:line="331"/>
        <w:jc w:val="left"/>
        <w:rPr/>
      </w:pPr>
      <w:r>
        <w:rPr/>
        <w:t> </w:t>
      </w:r>
    </w:p>
    <w:p>
      <w:pPr>
        <w:pStyle w:val="TextBody"/>
        <w:bidi w:val="0"/>
        <w:spacing w:lineRule="auto" w:line="316"/>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16"/>
        <w:jc w:val="left"/>
        <w:rPr/>
      </w:pPr>
      <w:bookmarkStart w:id="28" w:name="whwk-ex32_1.htm"/>
      <w:bookmarkStart w:id="29" w:name="kswhwkex32_1"/>
      <w:bookmarkEnd w:id="28"/>
      <w:bookmarkEnd w:id="29"/>
      <w:r>
        <w:rPr/>
        <w:t> </w:t>
      </w:r>
      <w:r>
        <w:br w:type="page"/>
      </w:r>
    </w:p>
    <w:p>
      <w:pPr>
        <w:pStyle w:val="TextBody"/>
        <w:bidi w:val="0"/>
        <w:spacing w:lineRule="auto" w:line="331"/>
        <w:jc w:val="right"/>
        <w:rPr>
          <w:rFonts w:ascii="Times New Roman" w:hAnsi="Times New Roman"/>
          <w:b/>
          <w:color w:val="000000"/>
          <w:sz w:val="20"/>
        </w:rPr>
      </w:pPr>
      <w:bookmarkStart w:id="30" w:name="section1"/>
      <w:bookmarkEnd w:id="30"/>
      <w:r>
        <w:rPr>
          <w:rFonts w:ascii="Times New Roman" w:hAnsi="Times New Roman"/>
          <w:b/>
          <w:color w:val="000000"/>
          <w:sz w:val="20"/>
        </w:rPr>
        <w:t>Exhibit 32.1</w:t>
      </w:r>
    </w:p>
    <w:p>
      <w:pPr>
        <w:pStyle w:val="TextBody"/>
        <w:bidi w:val="0"/>
        <w:spacing w:lineRule="auto" w:line="331"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lineRule="auto" w:line="331" w:before="240" w:after="283"/>
        <w:jc w:val="both"/>
        <w:rPr>
          <w:rFonts w:ascii="Times New Roman" w:hAnsi="Times New Roman"/>
          <w:color w:val="000000"/>
          <w:sz w:val="20"/>
        </w:rPr>
      </w:pPr>
      <w:r>
        <w:rPr>
          <w:rFonts w:ascii="Times New Roman" w:hAnsi="Times New Roman"/>
          <w:color w:val="000000"/>
          <w:sz w:val="20"/>
        </w:rPr>
        <w:t>In connection with the Quarterly Report of Whitehawk Therapeutics, Inc. (the “Company”) on Form 10-Q for the period ended June 30, 2026 as filed with the Securities and Exchange Commission on the date hereof (the “Report”), I certify, pursuant to 18 U.S.C. § 1350, as adopted pursuant to § 906 of the Sarbanes-Oxley Act of 2002, that to my knowledge:</w:t>
      </w:r>
    </w:p>
    <w:p>
      <w:pPr>
        <w:pStyle w:val="TextBody"/>
        <w:bidi w:val="0"/>
        <w:spacing w:lineRule="auto" w:line="331"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lineRule="auto" w:line="331"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lineRule="auto" w:line="331"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lineRule="auto" w:line="331"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lineRule="auto" w:line="331"/>
        <w:jc w:val="both"/>
        <w:rPr/>
      </w:pPr>
      <w:r>
        <w:rPr/>
        <w:t> </w:t>
      </w:r>
    </w:p>
    <w:tbl>
      <w:tblPr>
        <w:tblW w:w="5583" w:type="dxa"/>
        <w:jc w:val="left"/>
        <w:tblInd w:w="0" w:type="dxa"/>
        <w:tblLayout w:type="fixed"/>
        <w:tblCellMar>
          <w:top w:w="28" w:type="dxa"/>
          <w:left w:w="28" w:type="dxa"/>
          <w:bottom w:w="28" w:type="dxa"/>
          <w:right w:w="28" w:type="dxa"/>
        </w:tblCellMar>
      </w:tblPr>
      <w:tblGrid>
        <w:gridCol w:w="1846"/>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lineRule="auto" w:line="285" w:before="0" w:after="283"/>
              <w:jc w:val="left"/>
              <w:rPr>
                <w:rFonts w:ascii="Times New Roman" w:hAnsi="Times New Roman"/>
                <w:color w:val="000000"/>
                <w:sz w:val="20"/>
              </w:rPr>
            </w:pPr>
            <w:r>
              <w:rPr>
                <w:rFonts w:ascii="Times New Roman" w:hAnsi="Times New Roman"/>
                <w:color w:val="000000"/>
                <w:sz w:val="20"/>
              </w:rPr>
              <w:t>Date: August 6, 2026</w:t>
            </w:r>
          </w:p>
        </w:tc>
        <w:tc>
          <w:tcPr>
            <w:tcW w:w="406" w:type="dxa"/>
            <w:tcBorders/>
            <w:tcMar>
              <w:top w:w="0" w:type="dxa"/>
              <w:left w:w="0" w:type="dxa"/>
              <w:bottom w:w="0" w:type="dxa"/>
              <w:right w:w="0" w:type="dxa"/>
            </w:tcMar>
            <w:vAlign w:val="center"/>
          </w:tcPr>
          <w:p>
            <w:pPr>
              <w:pStyle w:val="TableContents"/>
              <w:bidi w:val="0"/>
              <w:spacing w:lineRule="auto" w:line="285"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6" w:space="0" w:color="000000"/>
            </w:tcBorders>
            <w:tcMar>
              <w:top w:w="0" w:type="dxa"/>
              <w:left w:w="0" w:type="dxa"/>
              <w:right w:w="0" w:type="dxa"/>
            </w:tcMar>
            <w:vAlign w:val="center"/>
          </w:tcPr>
          <w:p>
            <w:pPr>
              <w:pStyle w:val="TableContents"/>
              <w:bidi w:val="0"/>
              <w:spacing w:lineRule="auto" w:line="285" w:before="0" w:after="283"/>
              <w:jc w:val="center"/>
              <w:rPr>
                <w:rFonts w:ascii="Times New Roman" w:hAnsi="Times New Roman"/>
                <w:color w:val="000000"/>
                <w:sz w:val="20"/>
              </w:rPr>
            </w:pPr>
            <w:r>
              <w:rPr>
                <w:rFonts w:ascii="Times New Roman" w:hAnsi="Times New Roman"/>
                <w:color w:val="000000"/>
                <w:sz w:val="20"/>
              </w:rPr>
              <w:t>/s/ David Lennon</w:t>
            </w:r>
          </w:p>
        </w:tc>
      </w:tr>
      <w:tr>
        <w:trPr/>
        <w:tc>
          <w:tcPr>
            <w:tcW w:w="1846" w:type="dxa"/>
            <w:tcBorders/>
            <w:tcMar>
              <w:top w:w="0" w:type="dxa"/>
              <w:left w:w="0" w:type="dxa"/>
              <w:bottom w:w="0" w:type="dxa"/>
              <w:right w:w="0" w:type="dxa"/>
            </w:tcMar>
            <w:vAlign w:val="center"/>
          </w:tcPr>
          <w:p>
            <w:pPr>
              <w:pStyle w:val="TableContents"/>
              <w:bidi w:val="0"/>
              <w:spacing w:lineRule="auto" w:line="285"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lineRule="auto" w:line="285" w:before="0" w:after="283"/>
              <w:jc w:val="center"/>
              <w:rPr>
                <w:rFonts w:ascii="Times New Roman" w:hAnsi="Times New Roman"/>
                <w:b/>
                <w:color w:val="000000"/>
                <w:sz w:val="20"/>
              </w:rPr>
            </w:pPr>
            <w:r>
              <w:rPr>
                <w:rFonts w:ascii="Times New Roman" w:hAnsi="Times New Roman"/>
                <w:b/>
                <w:color w:val="000000"/>
                <w:sz w:val="20"/>
              </w:rPr>
              <w:t>David J. Lennon, Ph.D.</w:t>
            </w:r>
          </w:p>
        </w:tc>
      </w:tr>
      <w:tr>
        <w:trPr/>
        <w:tc>
          <w:tcPr>
            <w:tcW w:w="1846" w:type="dxa"/>
            <w:tcBorders/>
            <w:tcMar>
              <w:top w:w="0" w:type="dxa"/>
              <w:left w:w="0" w:type="dxa"/>
              <w:bottom w:w="0" w:type="dxa"/>
              <w:right w:w="0" w:type="dxa"/>
            </w:tcMar>
            <w:vAlign w:val="center"/>
          </w:tcPr>
          <w:p>
            <w:pPr>
              <w:pStyle w:val="TableContents"/>
              <w:bidi w:val="0"/>
              <w:spacing w:lineRule="auto" w:line="285"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lineRule="auto" w:line="285"/>
              <w:jc w:val="center"/>
              <w:rPr>
                <w:rFonts w:ascii="Times New Roman" w:hAnsi="Times New Roman"/>
                <w:b/>
                <w:color w:val="000000"/>
                <w:sz w:val="20"/>
              </w:rPr>
            </w:pPr>
            <w:r>
              <w:rPr>
                <w:rFonts w:ascii="Times New Roman" w:hAnsi="Times New Roman"/>
                <w:b/>
                <w:color w:val="000000"/>
                <w:sz w:val="20"/>
              </w:rPr>
              <w:t>Chief Executive Officer and President</w:t>
            </w:r>
          </w:p>
          <w:p>
            <w:pPr>
              <w:pStyle w:val="TableContents"/>
              <w:bidi w:val="0"/>
              <w:spacing w:lineRule="auto" w:line="285"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lineRule="auto" w:line="331"/>
        <w:jc w:val="left"/>
        <w:rPr/>
      </w:pPr>
      <w:r>
        <w:rPr/>
        <w:t> </w:t>
      </w:r>
    </w:p>
    <w:p>
      <w:pPr>
        <w:pStyle w:val="TextBody"/>
        <w:bidi w:val="0"/>
        <w:spacing w:lineRule="auto" w:line="316"/>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16"/>
        <w:jc w:val="left"/>
        <w:rPr/>
      </w:pPr>
      <w:bookmarkStart w:id="31" w:name="whwk-ex32_2.htm"/>
      <w:bookmarkStart w:id="32" w:name="kswhwkex32_2"/>
      <w:bookmarkEnd w:id="31"/>
      <w:bookmarkEnd w:id="32"/>
      <w:r>
        <w:rPr/>
        <w:t> </w:t>
      </w:r>
      <w:r>
        <w:br w:type="page"/>
      </w:r>
    </w:p>
    <w:p>
      <w:pPr>
        <w:pStyle w:val="TextBody"/>
        <w:bidi w:val="0"/>
        <w:spacing w:lineRule="auto" w:line="331"/>
        <w:jc w:val="right"/>
        <w:rPr>
          <w:rFonts w:ascii="Times New Roman" w:hAnsi="Times New Roman"/>
          <w:b/>
          <w:color w:val="000000"/>
          <w:sz w:val="20"/>
        </w:rPr>
      </w:pPr>
      <w:bookmarkStart w:id="33" w:name="section11"/>
      <w:bookmarkEnd w:id="33"/>
      <w:r>
        <w:rPr>
          <w:rFonts w:ascii="Times New Roman" w:hAnsi="Times New Roman"/>
          <w:b/>
          <w:color w:val="000000"/>
          <w:sz w:val="20"/>
        </w:rPr>
        <w:t>Exhibit 32.2</w:t>
      </w:r>
    </w:p>
    <w:p>
      <w:pPr>
        <w:pStyle w:val="TextBody"/>
        <w:bidi w:val="0"/>
        <w:spacing w:lineRule="auto" w:line="331"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lineRule="auto" w:line="331"/>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lineRule="auto" w:line="331" w:before="240" w:after="283"/>
        <w:jc w:val="both"/>
        <w:rPr>
          <w:rFonts w:ascii="Times New Roman" w:hAnsi="Times New Roman"/>
          <w:color w:val="000000"/>
          <w:sz w:val="20"/>
        </w:rPr>
      </w:pPr>
      <w:r>
        <w:rPr>
          <w:rFonts w:ascii="Times New Roman" w:hAnsi="Times New Roman"/>
          <w:color w:val="000000"/>
          <w:sz w:val="20"/>
        </w:rPr>
        <w:t>In connection with the Quarterly Report of Whitehawk Therapeutics, Inc. (the “Company”) on Form 10-Q for the period ended June 30, 2026 as filed with the Securities and Exchange Commission on the date hereof (the “Report”), I certify, pursuant to 18 U.S.C. § 1350, as adopted pursuant to § 906 of the Sarbanes-Oxley Act of 2002, that to my knowledge:</w:t>
      </w:r>
    </w:p>
    <w:p>
      <w:pPr>
        <w:pStyle w:val="TextBody"/>
        <w:bidi w:val="0"/>
        <w:spacing w:lineRule="auto" w:line="331"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lineRule="auto" w:line="331"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lineRule="auto" w:line="331"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lineRule="auto" w:line="331"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lineRule="auto" w:line="331"/>
        <w:jc w:val="left"/>
        <w:rPr/>
      </w:pPr>
      <w:r>
        <w:rPr/>
        <w:t> </w:t>
      </w:r>
    </w:p>
    <w:tbl>
      <w:tblPr>
        <w:tblW w:w="4818" w:type="dxa"/>
        <w:jc w:val="left"/>
        <w:tblInd w:w="0" w:type="dxa"/>
        <w:tblLayout w:type="fixed"/>
        <w:tblCellMar>
          <w:top w:w="28" w:type="dxa"/>
          <w:left w:w="28" w:type="dxa"/>
          <w:bottom w:w="28" w:type="dxa"/>
          <w:right w:w="28" w:type="dxa"/>
        </w:tblCellMar>
      </w:tblPr>
      <w:tblGrid>
        <w:gridCol w:w="1846"/>
        <w:gridCol w:w="406"/>
        <w:gridCol w:w="256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Date: August 6, 2026</w:t>
            </w:r>
          </w:p>
        </w:tc>
        <w:tc>
          <w:tcPr>
            <w:tcW w:w="406" w:type="dxa"/>
            <w:tcBorders/>
            <w:tcMar>
              <w:top w:w="0" w:type="dxa"/>
              <w:left w:w="0" w:type="dxa"/>
              <w:bottom w:w="0" w:type="dxa"/>
              <w:right w:w="0" w:type="dxa"/>
            </w:tcMar>
            <w:vAlign w:val="center"/>
          </w:tcPr>
          <w:p>
            <w:pPr>
              <w:pStyle w:val="TableContents"/>
              <w:bidi w:val="0"/>
              <w:spacing w:lineRule="auto" w:line="302"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6" w:space="0" w:color="000000"/>
            </w:tcBorders>
            <w:tcMar>
              <w:top w:w="0" w:type="dxa"/>
              <w:left w:w="0" w:type="dxa"/>
              <w:right w:w="0" w:type="dxa"/>
            </w:tcMar>
            <w:vAlign w:val="center"/>
          </w:tcPr>
          <w:p>
            <w:pPr>
              <w:pStyle w:val="TableContents"/>
              <w:bidi w:val="0"/>
              <w:spacing w:lineRule="auto" w:line="302" w:before="0" w:after="283"/>
              <w:jc w:val="center"/>
              <w:rPr>
                <w:rFonts w:ascii="Times New Roman" w:hAnsi="Times New Roman"/>
                <w:color w:val="000000"/>
                <w:sz w:val="20"/>
              </w:rPr>
            </w:pPr>
            <w:r>
              <w:rPr>
                <w:rFonts w:ascii="Times New Roman" w:hAnsi="Times New Roman"/>
                <w:color w:val="000000"/>
                <w:sz w:val="20"/>
              </w:rPr>
              <w:t>/s/ Scott Giacobello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lineRule="auto" w:line="302" w:before="0" w:after="283"/>
              <w:jc w:val="center"/>
              <w:rPr>
                <w:rFonts w:ascii="Times New Roman" w:hAnsi="Times New Roman"/>
                <w:b/>
                <w:color w:val="000000"/>
                <w:sz w:val="20"/>
              </w:rPr>
            </w:pPr>
            <w:r>
              <w:rPr>
                <w:rFonts w:ascii="Times New Roman" w:hAnsi="Times New Roman"/>
                <w:b/>
                <w:color w:val="000000"/>
                <w:sz w:val="20"/>
              </w:rPr>
              <w:t>Scott Giacobello</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lineRule="auto" w:line="302"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lineRule="auto" w:line="302"/>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lineRule="auto" w:line="302"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spacing w:lineRule="auto" w:line="331"/>
        <w:jc w:val="left"/>
        <w:rPr/>
      </w:pPr>
      <w:r>
        <w:rPr/>
        <w:t> </w:t>
      </w:r>
    </w:p>
    <w:p>
      <w:pPr>
        <w:pStyle w:val="TextBody"/>
        <w:bidi w:val="0"/>
        <w:spacing w:lineRule="auto" w:line="316"/>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22142/000119312525056708/d839636dex31.htm" TargetMode="External"/><Relationship Id="rId3" Type="http://schemas.openxmlformats.org/officeDocument/2006/relationships/hyperlink" Target="https://www.sec.gov/Archives/edgar/data/1422142/000119312525056708/d839636dex31.htm" TargetMode="External"/><Relationship Id="rId4" Type="http://schemas.openxmlformats.org/officeDocument/2006/relationships/hyperlink" Target="https://www.sec.gov/Archives/edgar/data/1422142/000119312525056708/d839636dex31.htm" TargetMode="External"/><Relationship Id="rId5" Type="http://schemas.openxmlformats.org/officeDocument/2006/relationships/hyperlink" Target="https://www.sec.gov/Archives/edgar/data/1422142/000119312525056708/d839636dex31.htm" TargetMode="External"/><Relationship Id="rId6" Type="http://schemas.openxmlformats.org/officeDocument/2006/relationships/hyperlink" Target="https://www.sec.gov/Archives/edgar/data/1422142/000119312525056708/d839636dex31.htm" TargetMode="External"/><Relationship Id="rId7" Type="http://schemas.openxmlformats.org/officeDocument/2006/relationships/hyperlink" Target="https://www.sec.gov/Archives/edgar/data/1422142/000119312525056708/d839636dex31.htm" TargetMode="External"/><Relationship Id="rId8" Type="http://schemas.openxmlformats.org/officeDocument/2006/relationships/hyperlink" Target="https://www.sec.gov/Archives/edgar/data/1422142/000119312525056708/d839636dex31.htm" TargetMode="External"/><Relationship Id="rId9" Type="http://schemas.openxmlformats.org/officeDocument/2006/relationships/hyperlink" Target="https://www.sec.gov/Archives/edgar/data/1422142/000119312525056708/d839636dex32.htm" TargetMode="External"/><Relationship Id="rId10" Type="http://schemas.openxmlformats.org/officeDocument/2006/relationships/hyperlink" Target="https://www.sec.gov/Archives/edgar/data/1422142/000119312525056708/d839636dex32.htm" TargetMode="External"/><Relationship Id="rId11" Type="http://schemas.openxmlformats.org/officeDocument/2006/relationships/hyperlink" Target="https://www.sec.gov/Archives/edgar/data/1422142/000119312525056708/d839636dex32.htm" TargetMode="External"/><Relationship Id="rId12" Type="http://schemas.openxmlformats.org/officeDocument/2006/relationships/hyperlink" Target="https://www.sec.gov/Archives/edgar/data/1422142/000119312525056708/d839636dex32.htm" TargetMode="External"/><Relationship Id="rId13" Type="http://schemas.openxmlformats.org/officeDocument/2006/relationships/hyperlink" Target="https://www.sec.gov/Archives/edgar/data/1422142/000119312525056708/d839636dex32.htm" TargetMode="External"/><Relationship Id="rId14" Type="http://schemas.openxmlformats.org/officeDocument/2006/relationships/hyperlink" Target="https://www.sec.gov/Archives/edgar/data/1422142/000119312525056708/d839636dex32.htm" TargetMode="External"/><Relationship Id="rId15" Type="http://schemas.openxmlformats.org/officeDocument/2006/relationships/hyperlink" Target="https://www.sec.gov/Archives/edgar/data/1422142/000119312525056708/d839636dex32.htm" TargetMode="External"/><Relationship Id="rId16" Type="http://schemas.openxmlformats.org/officeDocument/2006/relationships/hyperlink" Target="https://www.sec.gov/Archives/edgar/data/1422142/000119312525056708/d839636dex32.htm" TargetMode="External"/><Relationship Id="rId17" Type="http://schemas.openxmlformats.org/officeDocument/2006/relationships/hyperlink" Target="https://www.sec.gov/Archives/edgar/data/1422142/000119312525056708/d839636dex32.htm" TargetMode="External"/><Relationship Id="rId18" Type="http://schemas.openxmlformats.org/officeDocument/2006/relationships/hyperlink" Target="https://www.sec.gov/Archives/edgar/data/1422142/000119312525056708/d839636dex32.htm" TargetMode="External"/><Relationship Id="rId19" Type="http://schemas.openxmlformats.org/officeDocument/2006/relationships/hyperlink" Target="https://www.sec.gov/Archives/edgar/data/1422142/000119312526220656/d854431dex41.htm" TargetMode="External"/><Relationship Id="rId20" Type="http://schemas.openxmlformats.org/officeDocument/2006/relationships/hyperlink" Target="https://www.sec.gov/Archives/edgar/data/1422142/000119312526220656/d854431dex101.htm" TargetMode="External"/><Relationship Id="rId21" Type="http://schemas.openxmlformats.org/officeDocument/2006/relationships/hyperlink" Target="https://www.sec.gov/Archives/edgar/data/1422142/000119312526248349/d155546ds3.htm"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77508</Words>
  <Characters>433174</Characters>
  <CharactersWithSpaces>510665</CharactersWithSpaces>
  <Paragraphs>6009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