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302026_080728.xml.htm"/>
      <w:bookmarkStart w:id="1" w:name="ksform407302026_08072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Dalal Anupam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WHITEHAWK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HEADQUARTERS PLAZA, EAST BUILDING, 11T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MORRISTOWN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07960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Whitehawk Therapeutics, Inc.</w:t>
              </w:r>
            </w:hyperlink>
            <w:r>
              <w:rPr/>
              <w:t xml:space="preserve"> [ </w:t>
            </w:r>
            <w:r>
              <w:rPr>
                <w:rFonts w:ascii="Times;serif" w:hAnsi="Times;serif"/>
                <w:color w:val="0000FF"/>
                <w:sz w:val="24"/>
                <w:shd w:fill="FFFFFF" w:val="clear"/>
              </w:rPr>
              <w:t>WHWK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6"/>
        <w:gridCol w:w="899"/>
        <w:gridCol w:w="771"/>
        <w:gridCol w:w="597"/>
        <w:gridCol w:w="339"/>
        <w:gridCol w:w="1134"/>
        <w:gridCol w:w="431"/>
        <w:gridCol w:w="650"/>
        <w:gridCol w:w="1247"/>
        <w:gridCol w:w="968"/>
        <w:gridCol w:w="10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1,275,510</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3.92</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4,685,912</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p>
        </w:tc>
      </w:tr>
      <w:tr>
        <w:trPr/>
        <w:tc>
          <w:tcPr>
            <w:tcW w:w="214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1,130</w:t>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38,040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06/12/2036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38,040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38,040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Consists of (i) 3,538,288 shares held by Acuta Capital Fund, LP ("Acuta Capital") and (ii) 1,147,624 shares held by Acuta Opportunity Fund, LP. ("Acuta Opportunity Fund"). Acuta Capital Partners, LLC ("Acuta Partners") is the general partner of each of Acuta Capital and Acuta Opportunity Fund. The Reporting Person is the Chief Investment Officer and Managing Member of Acuta Partners. The Reporting Person has voting and investment authority over all of the shares held by each of Acuta Capital and Acuta Opportunity Fund. Each of Acuta Partners and the Reporting Person disclaim beneficial ownership of the shares of common stock held by each of Acuta Capital and Acuta Opportunity Fund except to the extent of their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Subject to the Reporting Person continuing to be a Service Provider (as defined in the Issuer's 2021 Equity Incentive Plan) through such applicable date, one hundred percent (100%) of the shares subject to the option shall vest on the earlier of (i) the one (1) year anniversary of the Date of Grant or (ii) the day immediately prior to the next annual meeting of stockholders following the Date of Grant. "Date of Grant" shall mean June 12,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Stephen Rodin,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02474" TargetMode="External"/><Relationship Id="rId5" Type="http://schemas.openxmlformats.org/officeDocument/2006/relationships/hyperlink" Target="http://www.sec.gov/cgi-bin/browse-edgar?action=getcompany&amp;CIK=000142214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787</Words>
  <Characters>4229</Characters>
  <CharactersWithSpaces>4932</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