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8676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676005"/>
                    </a:xfrm>
                    <a:prstGeom prst="rect">
                      <a:avLst/>
                    </a:prstGeom>
                    <a:noFill/>
                  </pic:spPr>
                </pic:pic>
              </a:graphicData>
            </a:graphic>
          </wp:anchor>
        </w:drawing>
      </w:r>
    </w:p>
    <w:p>
      <w:pPr>
        <w:spacing w:after="0" w:line="1235" w:lineRule="exact"/>
        <w:rPr>
          <w:sz w:val="24"/>
          <w:szCs w:val="24"/>
          <w:color w:val="auto"/>
        </w:rPr>
      </w:pPr>
    </w:p>
    <w:p>
      <w:pPr>
        <w:sectPr>
          <w:pgSz w:w="11900" w:h="16905" w:orient="portrait"/>
          <w:cols w:equalWidth="0" w:num="2">
            <w:col w:w="2320" w:space="260"/>
            <w:col w:w="8500"/>
          </w:cols>
          <w:pgMar w:left="460" w:top="217"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Aghazadeh Behzad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760"/>
        <w:spacing w:after="0" w:line="343" w:lineRule="auto"/>
        <w:rPr>
          <w:sz w:val="20"/>
          <w:szCs w:val="20"/>
          <w:color w:val="auto"/>
        </w:rPr>
      </w:pPr>
      <w:r>
        <w:rPr>
          <w:rFonts w:ascii="Times New Roman" w:cs="Times New Roman" w:eastAsia="Times New Roman" w:hAnsi="Times New Roman"/>
          <w:sz w:val="17"/>
          <w:szCs w:val="17"/>
          <w:color w:val="0000FF"/>
        </w:rPr>
        <w:t>C/O AVORO CAPITAL ADVISORS LLC 110 GREENE STREET, SUITE 800</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10012</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Whitehawk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WHWK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100" w:type="dxa"/>
            <w:vAlign w:val="bottom"/>
            <w:gridSpan w:val="2"/>
            <w:vMerge w:val="continue"/>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2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360" w:type="dxa"/>
            <w:vAlign w:val="bottom"/>
            <w:tcBorders>
              <w:bottom w:val="single" w:sz="8" w:color="2C2C2C"/>
            </w:tcBorders>
          </w:tcPr>
          <w:p>
            <w:pPr>
              <w:spacing w:after="0"/>
              <w:rPr>
                <w:sz w:val="17"/>
                <w:szCs w:val="17"/>
                <w:color w:val="auto"/>
              </w:rPr>
            </w:pPr>
          </w:p>
        </w:tc>
        <w:tc>
          <w:tcPr>
            <w:tcW w:w="1280" w:type="dxa"/>
            <w:vAlign w:val="bottom"/>
            <w:tcBorders>
              <w:bottom w:val="single" w:sz="8" w:color="2C2C2C"/>
            </w:tcBorders>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2"/>
                <w:szCs w:val="12"/>
                <w:color w:val="auto"/>
              </w:rPr>
            </w:pPr>
          </w:p>
        </w:tc>
        <w:tc>
          <w:tcPr>
            <w:tcW w:w="1920" w:type="dxa"/>
            <w:vAlign w:val="bottom"/>
          </w:tcPr>
          <w:p>
            <w:pPr>
              <w:ind w:left="400"/>
              <w:spacing w:after="0" w:line="143" w:lineRule="exact"/>
              <w:rPr>
                <w:sz w:val="20"/>
                <w:szCs w:val="20"/>
                <w:color w:val="auto"/>
              </w:rPr>
            </w:pPr>
            <w:r>
              <w:rPr>
                <w:rFonts w:ascii="Arial" w:cs="Arial" w:eastAsia="Arial" w:hAnsi="Arial"/>
                <w:sz w:val="13"/>
                <w:szCs w:val="13"/>
                <w:color w:val="auto"/>
              </w:rPr>
              <w:t>below)</w:t>
            </w:r>
          </w:p>
        </w:tc>
        <w:tc>
          <w:tcPr>
            <w:tcW w:w="1180" w:type="dxa"/>
            <w:vAlign w:val="bottom"/>
          </w:tcPr>
          <w:p>
            <w:pPr>
              <w:ind w:left="40"/>
              <w:spacing w:after="0" w:line="14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38"/>
        </w:trPr>
        <w:tc>
          <w:tcPr>
            <w:tcW w:w="200" w:type="dxa"/>
            <w:vAlign w:val="bottom"/>
            <w:gridSpan w:val="2"/>
            <w:vMerge w:val="continue"/>
          </w:tcPr>
          <w:p>
            <w:pPr>
              <w:spacing w:after="0"/>
              <w:rPr>
                <w:sz w:val="3"/>
                <w:szCs w:val="3"/>
                <w:color w:val="auto"/>
              </w:rPr>
            </w:pPr>
          </w:p>
        </w:tc>
        <w:tc>
          <w:tcPr>
            <w:tcW w:w="364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920" w:type="dxa"/>
            <w:vAlign w:val="bottom"/>
            <w:vMerge w:val="restart"/>
          </w:tcPr>
          <w:p>
            <w:pPr>
              <w:ind w:left="1040"/>
              <w:spacing w:after="0"/>
              <w:rPr>
                <w:sz w:val="20"/>
                <w:szCs w:val="20"/>
                <w:color w:val="auto"/>
              </w:rPr>
            </w:pPr>
            <w:r>
              <w:rPr>
                <w:rFonts w:ascii="Times New Roman" w:cs="Times New Roman" w:eastAsia="Times New Roman" w:hAnsi="Times New Roman"/>
                <w:sz w:val="17"/>
                <w:szCs w:val="17"/>
                <w:color w:val="0000FF"/>
              </w:rPr>
              <w:t>See remarks</w:t>
            </w: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25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06/12/2026</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1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905"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14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6"/>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4.16</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0000FF"/>
              </w:rPr>
              <w:t>06/12/2026</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38,040</w:t>
            </w:r>
          </w:p>
        </w:tc>
        <w:tc>
          <w:tcPr>
            <w:tcW w:w="280" w:type="dxa"/>
            <w:vAlign w:val="bottom"/>
          </w:tcPr>
          <w:p>
            <w:pPr>
              <w:spacing w:after="0"/>
              <w:rPr>
                <w:sz w:val="17"/>
                <w:szCs w:val="17"/>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06/12/2036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38,040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3"/>
                <w:szCs w:val="13"/>
                <w:color w:val="0000FF"/>
              </w:rPr>
              <w:t>38,040</w:t>
            </w:r>
            <w:r>
              <w:rPr>
                <w:rFonts w:ascii="Times New Roman" w:cs="Times New Roman" w:eastAsia="Times New Roman" w:hAnsi="Times New Roman"/>
                <w:sz w:val="21"/>
                <w:szCs w:val="21"/>
                <w:color w:val="008000"/>
                <w:vertAlign w:val="superscript"/>
              </w:rPr>
              <w:t>(2)(3)</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7"/>
                <w:szCs w:val="17"/>
                <w:color w:val="auto"/>
              </w:rPr>
            </w:pPr>
          </w:p>
        </w:tc>
      </w:tr>
      <w:tr>
        <w:trPr>
          <w:trHeight w:val="77"/>
        </w:trPr>
        <w:tc>
          <w:tcPr>
            <w:tcW w:w="20" w:type="dxa"/>
            <w:vAlign w:val="bottom"/>
          </w:tcPr>
          <w:p>
            <w:pPr>
              <w:spacing w:after="0"/>
              <w:rPr>
                <w:sz w:val="6"/>
                <w:szCs w:val="6"/>
                <w:color w:val="auto"/>
              </w:rPr>
            </w:pPr>
          </w:p>
        </w:tc>
        <w:tc>
          <w:tcPr>
            <w:tcW w:w="680" w:type="dxa"/>
            <w:vAlign w:val="bottom"/>
            <w:gridSpan w:val="3"/>
          </w:tcPr>
          <w:p>
            <w:pPr>
              <w:ind w:left="60"/>
              <w:spacing w:after="0" w:line="78"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ind w:left="160"/>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3"/>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580" w:type="dxa"/>
            <w:vAlign w:val="bottom"/>
            <w:tcBorders>
              <w:top w:val="single" w:sz="8" w:color="2C2C2C"/>
            </w:tcBorders>
            <w:gridSpan w:val="7"/>
          </w:tcPr>
          <w:p>
            <w:pPr>
              <w:ind w:left="60"/>
              <w:spacing w:after="0" w:line="231"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00" w:type="dxa"/>
            <w:vAlign w:val="bottom"/>
            <w:gridSpan w:val="6"/>
          </w:tcPr>
          <w:p>
            <w:pPr>
              <w:ind w:left="20"/>
              <w:spacing w:after="0" w:line="21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Aghazadeh Behzad</w:t>
              </w:r>
            </w:hyperlink>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2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6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C/O AVORO CAPITAL ADVISORS LLC</w:t>
            </w: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50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w w:val="98"/>
              </w:rPr>
              <w:t>110 GREENE STREET, SUITE 800</w:t>
            </w: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59"/>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10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10012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2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3"/>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245"/>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00" w:type="dxa"/>
            <w:vAlign w:val="bottom"/>
            <w:gridSpan w:val="6"/>
          </w:tcPr>
          <w:p>
            <w:pPr>
              <w:ind w:left="20"/>
              <w:spacing w:after="0" w:line="219"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Avoro Capital Advisors LLC</w:t>
              </w:r>
            </w:hyperlink>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2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0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w w:val="98"/>
              </w:rPr>
              <w:t>110 GREENE STREET, SUITE 800</w:t>
            </w:r>
          </w:p>
        </w:tc>
        <w:tc>
          <w:tcPr>
            <w:tcW w:w="10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59"/>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10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10012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2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Avoro Ventures LLC</w:t>
        </w:r>
      </w:hyperlink>
    </w:p>
    <w:p>
      <w:pPr>
        <w:sectPr>
          <w:pgSz w:w="11900" w:h="16905" w:orient="portrait"/>
          <w:cols w:equalWidth="0" w:num="1">
            <w:col w:w="11080"/>
          </w:cols>
          <w:pgMar w:left="460" w:top="217" w:right="359" w:bottom="0" w:gutter="0" w:footer="0" w:header="0"/>
          <w:type w:val="continuous"/>
        </w:sectPr>
      </w:pPr>
    </w:p>
    <w:p>
      <w:pPr>
        <w:spacing w:after="0" w:line="29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ectPr>
          <w:pgSz w:w="11900" w:h="16905" w:orient="portrait"/>
          <w:cols w:equalWidth="0" w:num="1">
            <w:col w:w="11080"/>
          </w:cols>
          <w:pgMar w:left="460" w:top="217" w:right="359" w:bottom="0" w:gutter="0" w:footer="0" w:header="0"/>
          <w:type w:val="continuous"/>
        </w:sectPr>
      </w:pPr>
    </w:p>
    <w:bookmarkStart w:id="1" w:name="page2"/>
    <w:bookmarkEnd w:id="1"/>
    <w:p>
      <w:pPr>
        <w:ind w:left="80"/>
        <w:spacing w:after="0"/>
        <w:rPr>
          <w:sz w:val="20"/>
          <w:szCs w:val="20"/>
          <w:color w:val="auto"/>
        </w:rPr>
      </w:pPr>
      <w:r>
        <w:rPr>
          <w:rFonts w:ascii="Times New Roman" w:cs="Times New Roman" w:eastAsia="Times New Roman" w:hAnsi="Times New Roman"/>
          <w:sz w:val="17"/>
          <w:szCs w:val="17"/>
          <w:color w:val="0000FF"/>
        </w:rPr>
        <w:drawing>
          <wp:anchor simplePos="0" relativeHeight="251657728" behindDoc="1" locked="0" layoutInCell="0" allowOverlap="1">
            <wp:simplePos x="0" y="0"/>
            <wp:positionH relativeFrom="page">
              <wp:posOffset>281305</wp:posOffset>
            </wp:positionH>
            <wp:positionV relativeFrom="page">
              <wp:posOffset>88900</wp:posOffset>
            </wp:positionV>
            <wp:extent cx="2809240" cy="1003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03300"/>
                    </a:xfrm>
                    <a:prstGeom prst="rect">
                      <a:avLst/>
                    </a:prstGeom>
                    <a:noFill/>
                  </pic:spPr>
                </pic:pic>
              </a:graphicData>
            </a:graphic>
          </wp:anchor>
        </w:drawing>
        <w:t>110 GREENE STREET, SUITE 800</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10012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26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firstLine="2"/>
        <w:spacing w:after="0" w:line="241" w:lineRule="auto"/>
        <w:tabs>
          <w:tab w:leader="none" w:pos="1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the Reporting Person continuing to be a Service Provider (as defined in the Issuer's 2021 Equity Incentive Plan) through such applicable date, one hundred percent (100%) of the shares subject to the option shall vest on the earlier of (i) the one (1) year anniversary of the Date of Grant or (ii) the day immediately prior to the next annual meeting of stockholders following the Date of Grant. "Date of Grant" shall mean June 12, 2026.</w:t>
      </w:r>
    </w:p>
    <w:p>
      <w:pPr>
        <w:spacing w:after="0" w:line="26" w:lineRule="exact"/>
        <w:rPr>
          <w:rFonts w:ascii="Times New Roman" w:cs="Times New Roman" w:eastAsia="Times New Roman" w:hAnsi="Times New Roman"/>
          <w:sz w:val="13"/>
          <w:szCs w:val="13"/>
          <w:color w:val="008000"/>
        </w:rPr>
      </w:pPr>
    </w:p>
    <w:p>
      <w:pPr>
        <w:ind w:right="160" w:firstLine="2"/>
        <w:spacing w:after="0" w:line="241" w:lineRule="auto"/>
        <w:tabs>
          <w:tab w:leader="none" w:pos="1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filed by Avoro Capital Advisors LLC, a Delaware limited liability company ("Avoro Capital Advisors"), Avoro Ventures LLC, a Delaware limited liability company ("Avoro Ventures") and Behzad Aghazadeh ("Dr. Aghazadeh", and together with Avoro Capital Advisors and Avoro Ventures, the "Reporting Persons"). Dr. Aghazadeh serves as the portfolio manager and controlling person of Avoro Capital Advisors and Avoro Ventures LLC.</w:t>
      </w:r>
    </w:p>
    <w:p>
      <w:pPr>
        <w:spacing w:after="0" w:line="26" w:lineRule="exact"/>
        <w:rPr>
          <w:rFonts w:ascii="Times New Roman" w:cs="Times New Roman" w:eastAsia="Times New Roman" w:hAnsi="Times New Roman"/>
          <w:sz w:val="13"/>
          <w:szCs w:val="13"/>
          <w:color w:val="008000"/>
        </w:rPr>
      </w:pPr>
    </w:p>
    <w:p>
      <w:pPr>
        <w:ind w:right="280" w:firstLine="2"/>
        <w:spacing w:after="0" w:line="255" w:lineRule="auto"/>
        <w:tabs>
          <w:tab w:leader="none" w:pos="1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filing of this statement shall not be deemed an admission that any Reporting Person is the beneficial owner of the securities reported herein for purposes of Section 16 of the Securities Act of 1934, as amended, or otherwise. Each of the Reporting Persons expressly disclaims beneficial ownership of the securities reported herein except to the extent of its or his pecuniary interest therein.</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Avoro Capital Advisors and Avoro Ventures may be deemed directors by deputization of the Issuer by virtue of the fact that Dr. Aghazadeh currently serves on the board of directors of the Issuer.</w:t>
      </w:r>
    </w:p>
    <w:p>
      <w:pPr>
        <w:ind w:left="6560"/>
        <w:spacing w:after="0" w:line="186" w:lineRule="auto"/>
        <w:rPr>
          <w:sz w:val="20"/>
          <w:szCs w:val="20"/>
          <w:color w:val="auto"/>
        </w:rPr>
      </w:pPr>
      <w:r>
        <w:rPr>
          <w:rFonts w:ascii="Times New Roman" w:cs="Times New Roman" w:eastAsia="Times New Roman" w:hAnsi="Times New Roman"/>
          <w:sz w:val="17"/>
          <w:szCs w:val="17"/>
          <w:color w:val="0000FF"/>
        </w:rPr>
        <w:t xml:space="preserve">/s/ Stephen Rodin, as Attorney- </w:t>
      </w:r>
      <w:r>
        <w:rPr>
          <w:rFonts w:ascii="Times New Roman" w:cs="Times New Roman" w:eastAsia="Times New Roman" w:hAnsi="Times New Roman"/>
          <w:sz w:val="33"/>
          <w:szCs w:val="33"/>
          <w:color w:val="0000FF"/>
          <w:vertAlign w:val="subscript"/>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-27305</wp:posOffset>
            </wp:positionV>
            <wp:extent cx="1339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301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5561330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60"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20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13" Type="http://schemas.openxmlformats.org/officeDocument/2006/relationships/hyperlink" Target="http://www.sec.gov/cgi-bin/browse-edgar?action=getcompany&amp;CIK=0001701815" TargetMode="External"/><Relationship Id="rId14" Type="http://schemas.openxmlformats.org/officeDocument/2006/relationships/hyperlink" Target="http://www.sec.gov/cgi-bin/browse-edgar?action=getcompany&amp;CIK=0001422142" TargetMode="External"/><Relationship Id="rId15" Type="http://schemas.openxmlformats.org/officeDocument/2006/relationships/hyperlink" Target="http://www.sec.gov/cgi-bin/browse-edgar?action=getcompany&amp;CIK=0001633313" TargetMode="External"/><Relationship Id="rId16" Type="http://schemas.openxmlformats.org/officeDocument/2006/relationships/hyperlink" Target="http://www.sec.gov/cgi-bin/browse-edgar?action=getcompany&amp;CIK=000187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2026-06-15T16:26:21Z</dcterms:created>
  <dcterms:modified xsi:type="dcterms:W3CDTF">2026-06-15T16:26:21Z</dcterms:modified>
</cp:coreProperties>
</file>